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BE1D15F">
      <w:pPr>
        <w:spacing w:line="360" w:lineRule="auto"/>
        <w:rPr>
          <w:rFonts w:ascii="仿宋" w:hAnsi="仿宋" w:eastAsia="仿宋" w:cs="黑体"/>
          <w:b/>
          <w:bCs w:val="0"/>
          <w:sz w:val="32"/>
          <w:szCs w:val="32"/>
        </w:rPr>
      </w:pPr>
      <w:r>
        <w:rPr>
          <w:rFonts w:hint="eastAsia" w:ascii="仿宋" w:hAnsi="仿宋" w:eastAsia="仿宋" w:cs="黑体"/>
          <w:b/>
          <w:bCs w:val="0"/>
          <w:sz w:val="32"/>
          <w:szCs w:val="32"/>
        </w:rPr>
        <w:t>附件1:</w:t>
      </w:r>
    </w:p>
    <w:p w14:paraId="0B016A14">
      <w:pPr>
        <w:spacing w:line="360" w:lineRule="auto"/>
        <w:jc w:val="center"/>
        <w:rPr>
          <w:rStyle w:val="14"/>
          <w:rFonts w:hint="eastAsia" w:ascii="黑体" w:hAnsi="黑体" w:eastAsia="黑体" w:cs="黑体"/>
          <w:b w:val="0"/>
          <w:sz w:val="44"/>
          <w:szCs w:val="44"/>
        </w:rPr>
      </w:pPr>
      <w:r>
        <w:rPr>
          <w:rStyle w:val="14"/>
          <w:rFonts w:hint="eastAsia" w:ascii="黑体" w:hAnsi="黑体" w:eastAsia="黑体" w:cs="黑体"/>
          <w:b w:val="0"/>
          <w:sz w:val="44"/>
          <w:szCs w:val="44"/>
        </w:rPr>
        <w:t>本次检验项目</w:t>
      </w:r>
    </w:p>
    <w:p w14:paraId="5277FECD">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黑体" w:hAnsi="黑体" w:eastAsia="黑体" w:cs="黑体"/>
          <w:b/>
          <w:bCs w:val="0"/>
          <w:sz w:val="32"/>
          <w:szCs w:val="32"/>
          <w:lang w:val="en-US" w:eastAsia="zh-CN"/>
        </w:rPr>
      </w:pPr>
      <w:r>
        <w:rPr>
          <w:rFonts w:hint="eastAsia" w:ascii="黑体" w:hAnsi="黑体" w:eastAsia="黑体" w:cs="黑体"/>
          <w:b/>
          <w:bCs w:val="0"/>
          <w:sz w:val="32"/>
          <w:szCs w:val="32"/>
        </w:rPr>
        <w:t>一、</w:t>
      </w:r>
      <w:r>
        <w:rPr>
          <w:rFonts w:hint="eastAsia" w:ascii="黑体" w:hAnsi="黑体" w:eastAsia="黑体" w:cs="黑体"/>
          <w:b/>
          <w:bCs w:val="0"/>
          <w:sz w:val="32"/>
          <w:szCs w:val="32"/>
          <w:lang w:val="en-US" w:eastAsia="zh-CN"/>
        </w:rPr>
        <w:t>淀粉及淀粉制品</w:t>
      </w:r>
    </w:p>
    <w:p w14:paraId="04FD5E82">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(一）抽检依据 </w:t>
      </w:r>
    </w:p>
    <w:p w14:paraId="1BD38CD9">
      <w:pPr>
        <w:spacing w:line="360" w:lineRule="auto"/>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抽检依据GB 2762-2022《食品安全国家标准 食品中污染物限量》</w:t>
      </w:r>
      <w:r>
        <w:rPr>
          <w:rFonts w:hint="eastAsia" w:ascii="仿宋" w:hAnsi="仿宋" w:eastAsia="仿宋" w:cs="仿宋_GB2312"/>
          <w:sz w:val="32"/>
          <w:szCs w:val="32"/>
          <w:lang w:eastAsia="zh-CN"/>
        </w:rPr>
        <w:t>、GB 2760-2014《食品安全国家标准 食品添加剂使用标准》。</w:t>
      </w:r>
    </w:p>
    <w:p w14:paraId="2608F51C">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(二）检验项目</w:t>
      </w:r>
    </w:p>
    <w:p w14:paraId="408F9818">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粉丝粉条</w:t>
      </w:r>
      <w:r>
        <w:rPr>
          <w:rFonts w:hint="eastAsia" w:ascii="仿宋" w:hAnsi="仿宋" w:eastAsia="仿宋" w:cs="仿宋_GB2312"/>
          <w:sz w:val="32"/>
          <w:szCs w:val="32"/>
        </w:rPr>
        <w:t>抽检项目包括铅(以Pb计)</w:t>
      </w:r>
      <w:r>
        <w:rPr>
          <w:rFonts w:hint="eastAsia" w:ascii="仿宋" w:hAnsi="仿宋" w:eastAsia="仿宋" w:cs="仿宋_GB2312"/>
          <w:sz w:val="32"/>
          <w:szCs w:val="32"/>
          <w:lang w:eastAsia="zh-CN"/>
        </w:rPr>
        <w:t>、苯甲酸及其钠盐(以苯甲酸计)、山梨酸及其钾盐(以山梨酸计)、铝的残留量(干样品,以Al计)、二氧化硫残留量。</w:t>
      </w:r>
    </w:p>
    <w:p w14:paraId="179A35A9">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黑体" w:hAnsi="黑体" w:eastAsia="黑体" w:cs="黑体"/>
          <w:b/>
          <w:bCs w:val="0"/>
          <w:sz w:val="32"/>
          <w:szCs w:val="32"/>
          <w:lang w:eastAsia="zh-CN"/>
        </w:rPr>
      </w:pPr>
      <w:r>
        <w:rPr>
          <w:rFonts w:hint="eastAsia" w:ascii="黑体" w:hAnsi="黑体" w:eastAsia="黑体" w:cs="黑体"/>
          <w:b/>
          <w:bCs w:val="0"/>
          <w:sz w:val="32"/>
          <w:szCs w:val="32"/>
        </w:rPr>
        <w:t>二、</w:t>
      </w:r>
      <w:r>
        <w:rPr>
          <w:rFonts w:hint="eastAsia" w:ascii="黑体" w:hAnsi="黑体" w:eastAsia="黑体" w:cs="黑体"/>
          <w:b/>
          <w:bCs w:val="0"/>
          <w:sz w:val="32"/>
          <w:szCs w:val="32"/>
          <w:lang w:val="en-US" w:eastAsia="zh-CN"/>
        </w:rPr>
        <w:t>豆制品</w:t>
      </w:r>
    </w:p>
    <w:p w14:paraId="04695BFE">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(一）抽检依据 </w:t>
      </w:r>
    </w:p>
    <w:p w14:paraId="06BE99E5">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抽检依据GB 2762-2022《食品安全国家标准 食品中污染物限量》</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GB 2760-2014《食品安全国家标准 食品添加剂使用标准》、GB 2761-2017《食品安全国家标准 食品中真菌毒素限量》、GB 2712-2014《食品安全国家标准 豆制品》</w:t>
      </w:r>
      <w:r>
        <w:rPr>
          <w:rFonts w:hint="eastAsia" w:ascii="仿宋" w:hAnsi="仿宋" w:eastAsia="仿宋" w:cs="仿宋_GB2312"/>
          <w:sz w:val="32"/>
          <w:szCs w:val="32"/>
        </w:rPr>
        <w:t>。</w:t>
      </w:r>
    </w:p>
    <w:p w14:paraId="35E4FE95">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(二）检验项目</w:t>
      </w:r>
    </w:p>
    <w:p w14:paraId="07818850">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1.大豆蛋白类制品等抽检项目包括铅(以Pb计)、苯甲酸及其钠盐(以苯甲酸计)、山梨酸及其钾盐(以山梨酸计)、脱氢乙酸及其钠盐(以脱氢乙酸计)、糖精钠(以糖精计)、三氯蔗糖、铝的残留量(干样品,以Al计)、。</w:t>
      </w:r>
    </w:p>
    <w:p w14:paraId="578D041F">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腐乳、豆豉、纳豆等抽检项目包括铅(以Pb计)、黄曲霉毒素B₁、苯甲酸及其钠盐(以苯甲酸计)、山梨酸及其钾盐(以山梨酸计)、脱氢乙酸及其钠盐(以脱氢乙酸计)、糖精钠(以糖精计)、甜蜜素(以环己基氨基磺酸计)、铝的残留量(干样品,以Al计)、大肠菌群</w:t>
      </w:r>
      <w:r>
        <w:rPr>
          <w:rFonts w:hint="eastAsia" w:ascii="仿宋" w:hAnsi="仿宋" w:eastAsia="仿宋" w:cs="仿宋_GB2312"/>
          <w:sz w:val="32"/>
          <w:szCs w:val="32"/>
        </w:rPr>
        <w:t>。</w:t>
      </w:r>
    </w:p>
    <w:p w14:paraId="412BD2A2">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三、糕点</w:t>
      </w:r>
    </w:p>
    <w:p w14:paraId="79BB7EF6">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(一）抽检依据 </w:t>
      </w:r>
    </w:p>
    <w:p w14:paraId="77935D5F">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抽检依据GB 7099-2015《食品安全国家标准 糕点、面包》</w:t>
      </w:r>
      <w:r>
        <w:rPr>
          <w:rFonts w:hint="eastAsia" w:ascii="仿宋" w:hAnsi="仿宋" w:eastAsia="仿宋" w:cs="仿宋_GB2312"/>
          <w:sz w:val="32"/>
          <w:szCs w:val="32"/>
          <w:lang w:eastAsia="zh-CN"/>
        </w:rPr>
        <w:t>、GB 2762-2022《食品安全国家标准 食品中污染物限量》、GB 2760-2014《食品安全国家标准 食品添加剂使用标准》、GB 29921-2021《食品安全国家标准 预包装食品中致病菌限量》、SB/T 10377-2004《粽子》</w:t>
      </w:r>
      <w:r>
        <w:rPr>
          <w:rFonts w:hint="eastAsia" w:ascii="仿宋" w:hAnsi="仿宋" w:eastAsia="仿宋" w:cs="仿宋_GB2312"/>
          <w:sz w:val="32"/>
          <w:szCs w:val="32"/>
        </w:rPr>
        <w:t>。</w:t>
      </w:r>
    </w:p>
    <w:p w14:paraId="78C2B348">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(二）检验项目</w:t>
      </w:r>
    </w:p>
    <w:p w14:paraId="70E7FF61">
      <w:pPr>
        <w:spacing w:line="36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糕点抽检项目包括酸价(以脂肪计)(KOH)、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柠檬黄、日落黄、胭脂红、苋菜红、新红、赤藓红、诱惑红、酸性红、喹啉黄、菌落总数、大肠菌群、金黄色葡萄球菌、沙门氏菌、霉菌。</w:t>
      </w:r>
    </w:p>
    <w:p w14:paraId="0C6DF5A0">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2.粽子抽检项目包括甜蜜素(以环己基氨基磺酸计)、山梨酸及其钾盐(以山梨酸计)、脱氢乙酸及其钠盐(以脱氢乙酸计)、糖精钠(以糖精计)、安赛蜜、商业无菌</w:t>
      </w:r>
      <w:r>
        <w:rPr>
          <w:rFonts w:hint="eastAsia" w:ascii="仿宋" w:hAnsi="仿宋" w:eastAsia="仿宋" w:cs="仿宋_GB2312"/>
          <w:sz w:val="32"/>
          <w:szCs w:val="32"/>
        </w:rPr>
        <w:t>。</w:t>
      </w:r>
    </w:p>
    <w:p w14:paraId="075FA768">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default"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四、酒类</w:t>
      </w:r>
    </w:p>
    <w:p w14:paraId="2177F0CB">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(一）抽检依据 </w:t>
      </w:r>
    </w:p>
    <w:p w14:paraId="4F5CAF5B">
      <w:pPr>
        <w:spacing w:line="360" w:lineRule="auto"/>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抽检依据产品明示标准和质量要求</w:t>
      </w:r>
      <w:r>
        <w:rPr>
          <w:rFonts w:hint="eastAsia" w:ascii="仿宋" w:hAnsi="仿宋" w:eastAsia="仿宋" w:cs="仿宋_GB2312"/>
          <w:sz w:val="32"/>
          <w:szCs w:val="32"/>
          <w:lang w:eastAsia="zh-CN"/>
        </w:rPr>
        <w:t>、GB 2760-2014《食品安全国家标准 食品添加剂使用标准》。</w:t>
      </w:r>
    </w:p>
    <w:p w14:paraId="44E90EE6">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(二）检验项目</w:t>
      </w:r>
    </w:p>
    <w:p w14:paraId="45CCC889">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1.黄酒抽检项目包括酒精度、氨基酸态氮、苯甲酸及其钠盐(以苯甲酸计)、山梨酸及其钾盐(以山梨酸计)、糖精钠(以糖精计)、甜蜜素(以环己基氨基磺酸计)</w:t>
      </w:r>
      <w:r>
        <w:rPr>
          <w:rFonts w:hint="eastAsia" w:ascii="仿宋" w:hAnsi="仿宋" w:eastAsia="仿宋" w:cs="仿宋_GB2312"/>
          <w:sz w:val="32"/>
          <w:szCs w:val="32"/>
        </w:rPr>
        <w:t>。</w:t>
      </w:r>
    </w:p>
    <w:p w14:paraId="5B3A7691">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五、粮食加工品</w:t>
      </w:r>
    </w:p>
    <w:p w14:paraId="60A67566">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(一）抽检依据 </w:t>
      </w:r>
    </w:p>
    <w:p w14:paraId="50798E11">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抽检依据GB 2762-2022《食品安全国家标准 食品中污染物限量》、GB 2761-2017《食品安全国家标准 食品中真菌毒素限量》、GB 2760-2014《食品安全国家标准 食品添加剂使用标准》、卫生部公告[2011]第4号 卫生部等7部门《关于撤销食品添加剂过氧化苯甲酰、过氧化钙的公告》。</w:t>
      </w:r>
    </w:p>
    <w:p w14:paraId="03B22F20">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14:paraId="14DAB1DD">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1.小麦粉抽检项目包括镉(以Cd计)、苯并[a]芘、玉米赤霉烯酮、脱氧雪腐镰刀菌烯醇、赭曲霉毒素A、黄曲霉毒素B₁、偶氮甲酰胺、过氧化苯甲酰。</w:t>
      </w:r>
    </w:p>
    <w:p w14:paraId="0130836C">
      <w:pPr>
        <w:spacing w:line="36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2.米粉制品抽检项目包括苯甲酸及其钠盐(以苯甲酸计)、山梨酸及其钾盐(以山梨酸计)、脱氢乙酸及其钠盐(以脱氢乙酸计)、二氧化硫残留量。</w:t>
      </w:r>
    </w:p>
    <w:p w14:paraId="033C0795">
      <w:pPr>
        <w:spacing w:line="360" w:lineRule="auto"/>
        <w:ind w:firstLine="643" w:firstLineChars="20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六、肉制品</w:t>
      </w:r>
    </w:p>
    <w:p w14:paraId="1895C597">
      <w:pPr>
        <w:spacing w:line="360" w:lineRule="auto"/>
        <w:ind w:firstLine="643" w:firstLineChars="20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 xml:space="preserve">(一）抽检依据 </w:t>
      </w:r>
    </w:p>
    <w:p w14:paraId="67B3F6BB">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抽检依据GB 2762-2022《食品安全国家标准 食品中污染物限量》、GB 2760-2014《食品安全国家标准 食品添加剂使用标准》、整顿办函[2011]1号《食品中可能违法添加的非食用物质和易滥用的食品添加剂品种名单(第五批)》、GB 29921-2021《食品安全国家标准 预包装食品中致病菌限量。</w:t>
      </w:r>
    </w:p>
    <w:p w14:paraId="5A7CE114">
      <w:pPr>
        <w:spacing w:line="360" w:lineRule="auto"/>
        <w:ind w:firstLine="643" w:firstLineChars="20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(二）检验项目</w:t>
      </w:r>
    </w:p>
    <w:p w14:paraId="5ECBD8BD">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熏煮香肠火腿制品抽检项目包括铅(以Pb计)、亚硝酸盐(以亚硝酸钠计)、苯甲酸及其钠盐(以苯甲酸计)、山梨酸及其钾盐(以山梨酸计)、脱氢乙酸及其钠盐(以脱氢乙酸计)、纳他霉素、胭脂红、诱惑红、氯霉素、菌落总数、大肠菌群、沙门氏菌、金黄色葡萄球菌、单核细胞增生李斯特氏菌。</w:t>
      </w:r>
    </w:p>
    <w:p w14:paraId="037928D0">
      <w:pPr>
        <w:spacing w:line="360" w:lineRule="auto"/>
        <w:ind w:firstLine="643" w:firstLineChars="20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七、食品添加剂</w:t>
      </w:r>
    </w:p>
    <w:p w14:paraId="586971A5">
      <w:pPr>
        <w:spacing w:line="360" w:lineRule="auto"/>
        <w:ind w:firstLine="643" w:firstLineChars="20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 xml:space="preserve">(一）抽检依据 </w:t>
      </w:r>
    </w:p>
    <w:p w14:paraId="1AB57432">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抽检依据GB 26687-2011《食品安全国家标准 复配食品添加剂通则》。</w:t>
      </w:r>
    </w:p>
    <w:p w14:paraId="6937A9BA">
      <w:pPr>
        <w:spacing w:line="360" w:lineRule="auto"/>
        <w:ind w:firstLine="643" w:firstLineChars="20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(二）检验项目</w:t>
      </w:r>
    </w:p>
    <w:p w14:paraId="2D40F77B">
      <w:pPr>
        <w:spacing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1.复配食品添加剂抽检项目包括铅(Pb)、砷(以As计)、沙门氏菌、金黄色葡萄球菌。</w:t>
      </w:r>
    </w:p>
    <w:p w14:paraId="78BD1D63">
      <w:pPr>
        <w:spacing w:line="360" w:lineRule="auto"/>
        <w:ind w:firstLine="643" w:firstLineChars="200"/>
        <w:rPr>
          <w:rFonts w:hint="eastAsia" w:ascii="黑体" w:hAnsi="黑体" w:eastAsia="黑体" w:cs="黑体"/>
          <w:b/>
          <w:bCs w:val="0"/>
          <w:sz w:val="32"/>
          <w:szCs w:val="32"/>
          <w:lang w:val="en-US" w:eastAsia="zh-CN"/>
        </w:rPr>
      </w:pPr>
      <w:r>
        <w:rPr>
          <w:rFonts w:hint="eastAsia" w:ascii="仿宋" w:hAnsi="仿宋" w:eastAsia="仿宋" w:cs="仿宋_GB2312"/>
          <w:b/>
          <w:bCs/>
          <w:sz w:val="32"/>
          <w:szCs w:val="32"/>
          <w:lang w:val="en-US" w:eastAsia="zh-CN"/>
        </w:rPr>
        <w:t>八、</w:t>
      </w:r>
      <w:r>
        <w:rPr>
          <w:rFonts w:hint="eastAsia" w:ascii="黑体" w:hAnsi="黑体" w:eastAsia="黑体" w:cs="黑体"/>
          <w:b/>
          <w:bCs w:val="0"/>
          <w:sz w:val="32"/>
          <w:szCs w:val="32"/>
          <w:lang w:val="en-US" w:eastAsia="zh-CN"/>
        </w:rPr>
        <w:t>食用农产品</w:t>
      </w:r>
    </w:p>
    <w:p w14:paraId="4D7A1C6C">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(一）抽检依据 </w:t>
      </w:r>
    </w:p>
    <w:p w14:paraId="49224DDE">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抽检依据GB 31650-2019《食品安全国家标准食品中兽药最大残留限量》、农业农村部公告第250号《食品动物中禁止使用的药品及其他化合物清单》、GB 2707-2016《食品安全国家标准鲜(冻)畜、禽产品》、GB 31650.1-2022《食品安全国家标准食品中41种兽药最大残留限量》、GB 2763-2021《食品安全国家标准食品中农药最大残留限量》、GB 2763.1-2022《食品安全国家标准食品中2,4-滴丁酸钠盐等112种农药最大残留限量》、GB 2762-2022《食品安全国家标准食品中污染物限量》、国家食品药品监督管理总局农业部国家卫生和计划生育委员会关于豆芽生产过程中禁止使用6-苄基腺嘌呤等物质的公告(2015年第11号)、GB 22556-2008《豆芽卫生标准》、GB 2760-2014《食品安全国家标准食品添加剂使用标准》</w:t>
      </w:r>
      <w:r>
        <w:rPr>
          <w:rFonts w:hint="eastAsia" w:ascii="仿宋" w:hAnsi="仿宋" w:eastAsia="仿宋" w:cs="仿宋_GB2312"/>
          <w:sz w:val="32"/>
          <w:szCs w:val="32"/>
          <w:lang w:eastAsia="zh-CN"/>
        </w:rPr>
        <w:t>等</w:t>
      </w:r>
      <w:r>
        <w:rPr>
          <w:rFonts w:hint="eastAsia" w:ascii="仿宋" w:hAnsi="仿宋" w:eastAsia="仿宋" w:cs="仿宋_GB2312"/>
          <w:sz w:val="32"/>
          <w:szCs w:val="32"/>
        </w:rPr>
        <w:t>。</w:t>
      </w:r>
    </w:p>
    <w:p w14:paraId="038DDC57">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(二）检验项目</w:t>
      </w:r>
    </w:p>
    <w:p w14:paraId="745E7167">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1.菜豆抽检项目包括吡虫啉、毒死蜱、多菌灵、甲氨基阿维菌素苯甲酸盐、甲胺磷、克百威、氯氟氰菊酯和高效氯氟氰菊酯、灭蝇胺、噻虫胺、三唑磷、水胺硫磷、氧乐果、乙酰甲胺磷。</w:t>
      </w:r>
    </w:p>
    <w:p w14:paraId="14D3C808">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2.豆芽抽检项目包括4-氯苯氧乙酸钠（以 4-氯苯氧乙酸计）、6-苄基腺嘌呤（6-BA）、亚硫酸盐（以 SO_(2)计）、铅(以Pb计)、总汞（以 Hg 计）。</w:t>
      </w:r>
    </w:p>
    <w:p w14:paraId="0D426031">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6.鸡肉抽检项目包括挥发性盐基氮、呋喃唑酮代谢物、呋喃西林代谢物、呋喃它酮代谢物、氯霉素、五氯酚酸钠(以五氯酚计)、氧氟沙星、培氟沙星、诺氟沙星、恩诺沙星、沙拉沙星、替米考星、磺胺类(总量)、甲氧苄啶、氟苯尼考、多西环素、甲硝唑、尼卡巴嗪、环丙氨嗪、土霉素/金霉素/四环素(组合含量)。</w:t>
      </w:r>
    </w:p>
    <w:p w14:paraId="6DDD08BC">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7.姜抽检项目包括铅(以Pb计)、镉(以Cd计)、吡虫啉、敌敌畏、毒死蜱、甲拌磷、克百威、六六六、氯氟氰菊酯和高效氯氟氰菊酯、氯氰菊酯和高效氯氰菊酯、氯唑磷、噻虫胺、噻虫嗪、氧乐果。</w:t>
      </w:r>
    </w:p>
    <w:p w14:paraId="72A317A5">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8.韭菜抽检项目包括铅(以Pb计)、镉(以Cd计)、阿维菌素、敌敌畏、毒死蜱、多菌灵、二甲戊灵、氟虫腈、腐霉利、甲胺磷、甲拌磷、甲基异柳磷、克百威、乐果、六六六、氯氟氰菊酯和高效氯氟氰菊酯、氯氰菊酯和高效氯氰菊酯、三唑磷、水胺硫磷、辛硫磷、氧乐果、乙酰甲胺磷。</w:t>
      </w:r>
    </w:p>
    <w:p w14:paraId="3265D5CC">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9.辣椒</w:t>
      </w:r>
      <w:r>
        <w:rPr>
          <w:rFonts w:hint="default" w:ascii="仿宋" w:hAnsi="仿宋" w:eastAsia="仿宋" w:cs="楷体_GB2312"/>
          <w:bCs/>
          <w:sz w:val="32"/>
          <w:szCs w:val="32"/>
          <w:lang w:val="en-US" w:eastAsia="zh-CN"/>
        </w:rPr>
        <w:t>抽检项目包括铅(以Pb计)</w:t>
      </w:r>
      <w:r>
        <w:rPr>
          <w:rFonts w:hint="eastAsia" w:ascii="仿宋" w:hAnsi="仿宋" w:eastAsia="仿宋" w:cs="楷体_GB2312"/>
          <w:bCs/>
          <w:sz w:val="32"/>
          <w:szCs w:val="32"/>
          <w:lang w:val="en-US" w:eastAsia="zh-CN"/>
        </w:rPr>
        <w:t>、镉(以Cd计)、倍硫磷、吡虫啉、吡唑醚菌酯、敌敌畏、啶虫脒、毒死蜱、氟虫腈、甲氨基阿维菌素苯甲酸盐、甲胺磷、甲拌磷、克百威、乐果、联苯菊酯、氯氟氰菊酯和高效氯氟氰菊酯、噻虫胺、噻虫嗪、三唑磷、杀扑磷、水胺硫磷、氧乐果、乙酰甲胺磷。</w:t>
      </w:r>
    </w:p>
    <w:p w14:paraId="00104554">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10.芹菜抽检项目包括铅(以Pb计)、镉(以Cd计)、阿维菌素、百菌清、苯醚甲环唑、敌敌畏、啶虫脒、毒死蜱、二甲戊灵、氟虫腈、甲拌磷、甲基异柳磷、腈菌唑、克百威、乐果、氯氟氰菊酯和高效氯氟氰菊酯、噻虫胺、噻虫嗪、三氯杀螨醇、水胺硫磷、辛硫磷、氧乐果、乙酰甲胺磷。</w:t>
      </w:r>
    </w:p>
    <w:p w14:paraId="4E9CCA86">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11.猪肉抽检项目包括挥发性盐基氮、呋喃唑酮代谢物、呋喃西林代谢物、氯霉素、五氯酚酸钠(以五氯酚计)、伦特罗、莱克多巴胺、沙丁胺醇、喹乙醇、恩诺沙星、替米考星、磺胺类(总量)、甲氧苄啶、氟苯尼考、多西环素、地塞米松、甲硝唑、氯丙嗪、土霉素/金霉素/四环素(组合含量)。</w:t>
      </w:r>
    </w:p>
    <w:p w14:paraId="67126A9A">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 w:hAnsi="仿宋" w:eastAsia="仿宋" w:cs="楷体_GB2312"/>
          <w:b/>
          <w:bCs w:val="0"/>
          <w:sz w:val="32"/>
          <w:szCs w:val="32"/>
          <w:lang w:val="en-US" w:eastAsia="zh-CN"/>
        </w:rPr>
      </w:pPr>
      <w:r>
        <w:rPr>
          <w:rFonts w:hint="eastAsia" w:ascii="仿宋" w:hAnsi="仿宋" w:eastAsia="仿宋" w:cs="楷体_GB2312"/>
          <w:b/>
          <w:bCs w:val="0"/>
          <w:sz w:val="32"/>
          <w:szCs w:val="32"/>
          <w:lang w:val="en-US" w:eastAsia="zh-CN"/>
        </w:rPr>
        <w:t>九、速冻食品</w:t>
      </w:r>
    </w:p>
    <w:p w14:paraId="1B3FE516">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 w:hAnsi="仿宋" w:eastAsia="仿宋" w:cs="楷体_GB2312"/>
          <w:b/>
          <w:bCs w:val="0"/>
          <w:sz w:val="32"/>
          <w:szCs w:val="32"/>
          <w:lang w:val="en-US" w:eastAsia="zh-CN"/>
        </w:rPr>
      </w:pPr>
      <w:r>
        <w:rPr>
          <w:rFonts w:hint="eastAsia" w:ascii="仿宋" w:hAnsi="仿宋" w:eastAsia="仿宋" w:cs="楷体_GB2312"/>
          <w:b/>
          <w:bCs w:val="0"/>
          <w:sz w:val="32"/>
          <w:szCs w:val="32"/>
          <w:lang w:val="en-US" w:eastAsia="zh-CN"/>
        </w:rPr>
        <w:t xml:space="preserve">(一）抽检依据 </w:t>
      </w:r>
    </w:p>
    <w:p w14:paraId="6D97CB41">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抽检依据GB 2762-2022《食品安全国家标准 食品中污染物限量》、GB 2760-2014《食品安全国家标准 食品添加剂使用标准》。</w:t>
      </w:r>
    </w:p>
    <w:p w14:paraId="03F550AE">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 w:hAnsi="仿宋" w:eastAsia="仿宋" w:cs="楷体_GB2312"/>
          <w:b/>
          <w:bCs w:val="0"/>
          <w:sz w:val="32"/>
          <w:szCs w:val="32"/>
          <w:lang w:val="en-US" w:eastAsia="zh-CN"/>
        </w:rPr>
      </w:pPr>
      <w:r>
        <w:rPr>
          <w:rFonts w:hint="eastAsia" w:ascii="仿宋" w:hAnsi="仿宋" w:eastAsia="仿宋" w:cs="楷体_GB2312"/>
          <w:b/>
          <w:bCs w:val="0"/>
          <w:sz w:val="32"/>
          <w:szCs w:val="32"/>
          <w:lang w:val="en-US" w:eastAsia="zh-CN"/>
        </w:rPr>
        <w:t>(二）检验项目</w:t>
      </w:r>
    </w:p>
    <w:p w14:paraId="54D88CAE">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1.速冻面米生制品抽检项目包括铅(以Pb计)、糖精钠(以糖精计)、甜蜜素(以环己基氨基磺酸计)、柠檬黄、日落黄。</w:t>
      </w:r>
    </w:p>
    <w:p w14:paraId="72764749">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 w:hAnsi="仿宋" w:eastAsia="仿宋" w:cs="楷体_GB2312"/>
          <w:b/>
          <w:bCs w:val="0"/>
          <w:sz w:val="32"/>
          <w:szCs w:val="32"/>
          <w:lang w:val="en-US" w:eastAsia="zh-CN"/>
        </w:rPr>
      </w:pPr>
      <w:r>
        <w:rPr>
          <w:rFonts w:hint="eastAsia" w:ascii="仿宋" w:hAnsi="仿宋" w:eastAsia="仿宋" w:cs="楷体_GB2312"/>
          <w:b/>
          <w:bCs w:val="0"/>
          <w:sz w:val="32"/>
          <w:szCs w:val="32"/>
          <w:lang w:val="en-US" w:eastAsia="zh-CN"/>
        </w:rPr>
        <w:t>十、调味品</w:t>
      </w:r>
    </w:p>
    <w:p w14:paraId="686CFCD5">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 w:hAnsi="仿宋" w:eastAsia="仿宋" w:cs="楷体_GB2312"/>
          <w:b/>
          <w:bCs w:val="0"/>
          <w:sz w:val="32"/>
          <w:szCs w:val="32"/>
          <w:lang w:val="en-US" w:eastAsia="zh-CN"/>
        </w:rPr>
      </w:pPr>
      <w:r>
        <w:rPr>
          <w:rFonts w:hint="eastAsia" w:ascii="仿宋" w:hAnsi="仿宋" w:eastAsia="仿宋" w:cs="楷体_GB2312"/>
          <w:b/>
          <w:bCs w:val="0"/>
          <w:sz w:val="32"/>
          <w:szCs w:val="32"/>
          <w:lang w:val="en-US" w:eastAsia="zh-CN"/>
        </w:rPr>
        <w:t xml:space="preserve">(一）抽检依据 </w:t>
      </w:r>
    </w:p>
    <w:p w14:paraId="77F97DD7">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抽检依据GB 2760-2014《食品安全国家标准 食品添加剂使用标准》、GB 2719-2018《食品安全国家标准 食醋》。</w:t>
      </w:r>
    </w:p>
    <w:p w14:paraId="289B9B72">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 w:hAnsi="仿宋" w:eastAsia="仿宋" w:cs="楷体_GB2312"/>
          <w:b/>
          <w:bCs w:val="0"/>
          <w:sz w:val="32"/>
          <w:szCs w:val="32"/>
          <w:lang w:val="en-US" w:eastAsia="zh-CN"/>
        </w:rPr>
      </w:pPr>
      <w:r>
        <w:rPr>
          <w:rFonts w:hint="eastAsia" w:ascii="仿宋" w:hAnsi="仿宋" w:eastAsia="仿宋" w:cs="楷体_GB2312"/>
          <w:b/>
          <w:bCs w:val="0"/>
          <w:sz w:val="32"/>
          <w:szCs w:val="32"/>
          <w:lang w:val="en-US" w:eastAsia="zh-CN"/>
        </w:rPr>
        <w:t>(二）检验项目</w:t>
      </w:r>
    </w:p>
    <w:p w14:paraId="0C73F612">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1.辣椒酱抽检项目包括</w:t>
      </w:r>
      <w:bookmarkStart w:id="0" w:name="_GoBack"/>
      <w:bookmarkEnd w:id="0"/>
      <w:r>
        <w:rPr>
          <w:rFonts w:hint="eastAsia" w:ascii="仿宋" w:hAnsi="仿宋" w:eastAsia="仿宋" w:cs="楷体_GB2312"/>
          <w:bCs/>
          <w:sz w:val="32"/>
          <w:szCs w:val="32"/>
          <w:lang w:val="en-US" w:eastAsia="zh-CN"/>
        </w:rPr>
        <w:t>苯甲酸及其钠盐(以苯甲酸计)、山梨酸及其钾盐(以山梨酸计)、脱氢乙酸及其钠盐(以脱氢乙酸计)、甜蜜素(以环己基氨基磺酸计)、二氧化硫残留量。</w:t>
      </w:r>
    </w:p>
    <w:p w14:paraId="24B4F360">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 w:hAnsi="仿宋" w:eastAsia="仿宋" w:cs="楷体_GB2312"/>
          <w:bCs/>
          <w:sz w:val="32"/>
          <w:szCs w:val="32"/>
          <w:lang w:val="en-US" w:eastAsia="zh-CN"/>
        </w:rPr>
      </w:pPr>
      <w:r>
        <w:rPr>
          <w:rFonts w:hint="eastAsia" w:ascii="仿宋" w:hAnsi="仿宋" w:eastAsia="仿宋" w:cs="楷体_GB2312"/>
          <w:bCs/>
          <w:sz w:val="32"/>
          <w:szCs w:val="32"/>
          <w:lang w:val="en-US" w:eastAsia="zh-CN"/>
        </w:rPr>
        <w:t>2.食醋抽检项目包括总酸(以乙酸计)、苯甲酸及其钠盐(以苯甲酸计)、山梨酸及其钾盐(以山梨酸计)、脱氢乙酸及其钠盐(以脱氢乙酸计)、对羟基苯甲酸酯类及其钠盐(对羟基苯甲酸甲酯钠,对羟基苯甲酸乙酯及其钠盐)(以对羟基苯甲酸计)、精钠(以糖精计)。</w:t>
      </w:r>
    </w:p>
    <w:p w14:paraId="7CBB2A7C">
      <w:pPr>
        <w:pStyle w:val="2"/>
        <w:rPr>
          <w:rFonts w:hint="eastAsia"/>
          <w:lang w:val="en-US" w:eastAsia="zh-CN"/>
        </w:rPr>
      </w:pPr>
    </w:p>
    <w:p w14:paraId="69945BEA">
      <w:pPr>
        <w:pStyle w:val="2"/>
        <w:rPr>
          <w:rFonts w:hint="eastAsia"/>
          <w:lang w:val="en-US" w:eastAsia="zh-CN"/>
        </w:rPr>
      </w:pPr>
    </w:p>
    <w:p w14:paraId="052DC243">
      <w:pPr>
        <w:pStyle w:val="2"/>
        <w:rPr>
          <w:rFonts w:hint="default"/>
          <w:lang w:val="en-US" w:eastAsia="zh-CN"/>
        </w:rPr>
      </w:pPr>
    </w:p>
    <w:sectPr>
      <w:footerReference r:id="rId3" w:type="default"/>
      <w:pgSz w:w="11906" w:h="16838"/>
      <w:pgMar w:top="1440" w:right="1474" w:bottom="1440"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F97E8C0">
    <w:pPr>
      <w:pStyle w:val="6"/>
      <w:jc w:val="center"/>
    </w:pPr>
  </w:p>
  <w:p w14:paraId="27689581">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MDc3MGFlNTdiMTBlZGZlOWE5ZDNjOWZlOTQ4NWQifQ=="/>
  </w:docVars>
  <w:rsids>
    <w:rsidRoot w:val="000E5509"/>
    <w:rsid w:val="00013FC1"/>
    <w:rsid w:val="00024292"/>
    <w:rsid w:val="00025398"/>
    <w:rsid w:val="00033F6D"/>
    <w:rsid w:val="00035F17"/>
    <w:rsid w:val="00036468"/>
    <w:rsid w:val="00040A3E"/>
    <w:rsid w:val="000454B4"/>
    <w:rsid w:val="00072DD4"/>
    <w:rsid w:val="000865BF"/>
    <w:rsid w:val="000954B1"/>
    <w:rsid w:val="00097174"/>
    <w:rsid w:val="000A443F"/>
    <w:rsid w:val="000B29FA"/>
    <w:rsid w:val="000D3C00"/>
    <w:rsid w:val="000E5509"/>
    <w:rsid w:val="000F705F"/>
    <w:rsid w:val="00107A11"/>
    <w:rsid w:val="00122D9D"/>
    <w:rsid w:val="00132497"/>
    <w:rsid w:val="0016517E"/>
    <w:rsid w:val="001A660B"/>
    <w:rsid w:val="001B7F26"/>
    <w:rsid w:val="001B7F84"/>
    <w:rsid w:val="001C6886"/>
    <w:rsid w:val="001C7BAD"/>
    <w:rsid w:val="00205259"/>
    <w:rsid w:val="002149A7"/>
    <w:rsid w:val="00217AEE"/>
    <w:rsid w:val="002245F8"/>
    <w:rsid w:val="00225138"/>
    <w:rsid w:val="00225515"/>
    <w:rsid w:val="00242D5A"/>
    <w:rsid w:val="0025294E"/>
    <w:rsid w:val="00255570"/>
    <w:rsid w:val="00280A85"/>
    <w:rsid w:val="00284F81"/>
    <w:rsid w:val="002C3E5B"/>
    <w:rsid w:val="002E27E8"/>
    <w:rsid w:val="002E55F3"/>
    <w:rsid w:val="0031326C"/>
    <w:rsid w:val="003222C6"/>
    <w:rsid w:val="00325D40"/>
    <w:rsid w:val="00326981"/>
    <w:rsid w:val="00326CA8"/>
    <w:rsid w:val="0034098D"/>
    <w:rsid w:val="00344461"/>
    <w:rsid w:val="00344557"/>
    <w:rsid w:val="00347FCF"/>
    <w:rsid w:val="00360981"/>
    <w:rsid w:val="00362565"/>
    <w:rsid w:val="00365C98"/>
    <w:rsid w:val="003669A0"/>
    <w:rsid w:val="003826D2"/>
    <w:rsid w:val="003B00B2"/>
    <w:rsid w:val="003D0AE8"/>
    <w:rsid w:val="003F1B37"/>
    <w:rsid w:val="00410349"/>
    <w:rsid w:val="004129AE"/>
    <w:rsid w:val="00412E67"/>
    <w:rsid w:val="0041401A"/>
    <w:rsid w:val="004312A3"/>
    <w:rsid w:val="00445393"/>
    <w:rsid w:val="0045391A"/>
    <w:rsid w:val="00475CE8"/>
    <w:rsid w:val="00484B66"/>
    <w:rsid w:val="00492B14"/>
    <w:rsid w:val="004B0C80"/>
    <w:rsid w:val="004B4CE2"/>
    <w:rsid w:val="004C0894"/>
    <w:rsid w:val="004E3435"/>
    <w:rsid w:val="004E3CCC"/>
    <w:rsid w:val="005054A9"/>
    <w:rsid w:val="00513987"/>
    <w:rsid w:val="0052196A"/>
    <w:rsid w:val="00525364"/>
    <w:rsid w:val="00535157"/>
    <w:rsid w:val="00542E6A"/>
    <w:rsid w:val="00551E7E"/>
    <w:rsid w:val="00597714"/>
    <w:rsid w:val="005A0D56"/>
    <w:rsid w:val="005A3715"/>
    <w:rsid w:val="005D0EA3"/>
    <w:rsid w:val="005D5ECB"/>
    <w:rsid w:val="005E4AF8"/>
    <w:rsid w:val="005E5644"/>
    <w:rsid w:val="00617BEF"/>
    <w:rsid w:val="006207F9"/>
    <w:rsid w:val="00622E5C"/>
    <w:rsid w:val="006452D7"/>
    <w:rsid w:val="00650209"/>
    <w:rsid w:val="00653D4F"/>
    <w:rsid w:val="00660AED"/>
    <w:rsid w:val="00666952"/>
    <w:rsid w:val="00670BDF"/>
    <w:rsid w:val="0068030F"/>
    <w:rsid w:val="006942E5"/>
    <w:rsid w:val="0069499A"/>
    <w:rsid w:val="006B2EBB"/>
    <w:rsid w:val="006B3796"/>
    <w:rsid w:val="006B55CE"/>
    <w:rsid w:val="006C0607"/>
    <w:rsid w:val="006D407B"/>
    <w:rsid w:val="006E26C3"/>
    <w:rsid w:val="006F0536"/>
    <w:rsid w:val="00710030"/>
    <w:rsid w:val="00710F9A"/>
    <w:rsid w:val="0071589D"/>
    <w:rsid w:val="0073741E"/>
    <w:rsid w:val="007412AC"/>
    <w:rsid w:val="007538A7"/>
    <w:rsid w:val="007665EE"/>
    <w:rsid w:val="00766E01"/>
    <w:rsid w:val="00781BB7"/>
    <w:rsid w:val="007822DB"/>
    <w:rsid w:val="007846CC"/>
    <w:rsid w:val="00797300"/>
    <w:rsid w:val="007F0348"/>
    <w:rsid w:val="00813301"/>
    <w:rsid w:val="00814964"/>
    <w:rsid w:val="0081511F"/>
    <w:rsid w:val="00823230"/>
    <w:rsid w:val="00826B41"/>
    <w:rsid w:val="00830580"/>
    <w:rsid w:val="00834490"/>
    <w:rsid w:val="00843581"/>
    <w:rsid w:val="0084411A"/>
    <w:rsid w:val="00850DB5"/>
    <w:rsid w:val="0089549A"/>
    <w:rsid w:val="008D74B4"/>
    <w:rsid w:val="008E3C63"/>
    <w:rsid w:val="00901AEC"/>
    <w:rsid w:val="00912725"/>
    <w:rsid w:val="00921D48"/>
    <w:rsid w:val="009277BF"/>
    <w:rsid w:val="00952B8F"/>
    <w:rsid w:val="00962F6C"/>
    <w:rsid w:val="00967B2E"/>
    <w:rsid w:val="00996049"/>
    <w:rsid w:val="009C083C"/>
    <w:rsid w:val="009F2ED6"/>
    <w:rsid w:val="00A00860"/>
    <w:rsid w:val="00A04224"/>
    <w:rsid w:val="00A12B2F"/>
    <w:rsid w:val="00A16D0C"/>
    <w:rsid w:val="00A3651E"/>
    <w:rsid w:val="00A44A33"/>
    <w:rsid w:val="00A55A45"/>
    <w:rsid w:val="00A64D4B"/>
    <w:rsid w:val="00A66B3E"/>
    <w:rsid w:val="00AB485C"/>
    <w:rsid w:val="00AC2CA0"/>
    <w:rsid w:val="00AC7EA8"/>
    <w:rsid w:val="00AE140E"/>
    <w:rsid w:val="00AF65F7"/>
    <w:rsid w:val="00AF6825"/>
    <w:rsid w:val="00B10AD1"/>
    <w:rsid w:val="00B1178A"/>
    <w:rsid w:val="00B27684"/>
    <w:rsid w:val="00B432BD"/>
    <w:rsid w:val="00B4441E"/>
    <w:rsid w:val="00B44463"/>
    <w:rsid w:val="00B4649E"/>
    <w:rsid w:val="00B47FEC"/>
    <w:rsid w:val="00B52924"/>
    <w:rsid w:val="00B674B2"/>
    <w:rsid w:val="00B7309C"/>
    <w:rsid w:val="00B8054F"/>
    <w:rsid w:val="00B852DF"/>
    <w:rsid w:val="00BB41A2"/>
    <w:rsid w:val="00BB53DF"/>
    <w:rsid w:val="00BB582F"/>
    <w:rsid w:val="00BB5E38"/>
    <w:rsid w:val="00BE29A9"/>
    <w:rsid w:val="00BF39CA"/>
    <w:rsid w:val="00BF416A"/>
    <w:rsid w:val="00C02D21"/>
    <w:rsid w:val="00C07698"/>
    <w:rsid w:val="00C14403"/>
    <w:rsid w:val="00C15494"/>
    <w:rsid w:val="00C166D7"/>
    <w:rsid w:val="00C21EA9"/>
    <w:rsid w:val="00C46186"/>
    <w:rsid w:val="00C4693B"/>
    <w:rsid w:val="00C54D5A"/>
    <w:rsid w:val="00C54EFE"/>
    <w:rsid w:val="00CA1AF4"/>
    <w:rsid w:val="00CE11C7"/>
    <w:rsid w:val="00D25593"/>
    <w:rsid w:val="00D27DE0"/>
    <w:rsid w:val="00D928ED"/>
    <w:rsid w:val="00DB1567"/>
    <w:rsid w:val="00DC5947"/>
    <w:rsid w:val="00DC7E78"/>
    <w:rsid w:val="00DD4C03"/>
    <w:rsid w:val="00DD5B49"/>
    <w:rsid w:val="00DD6108"/>
    <w:rsid w:val="00DE5CB9"/>
    <w:rsid w:val="00DF2A7B"/>
    <w:rsid w:val="00DF42D5"/>
    <w:rsid w:val="00E0733E"/>
    <w:rsid w:val="00E1556A"/>
    <w:rsid w:val="00E30565"/>
    <w:rsid w:val="00E54487"/>
    <w:rsid w:val="00E76129"/>
    <w:rsid w:val="00EB36D3"/>
    <w:rsid w:val="00ED40FF"/>
    <w:rsid w:val="00EE4186"/>
    <w:rsid w:val="00EE51D5"/>
    <w:rsid w:val="00EF7648"/>
    <w:rsid w:val="00F031C6"/>
    <w:rsid w:val="00F10D79"/>
    <w:rsid w:val="00F13B64"/>
    <w:rsid w:val="00F27688"/>
    <w:rsid w:val="00F355D1"/>
    <w:rsid w:val="00F375BF"/>
    <w:rsid w:val="00F40E97"/>
    <w:rsid w:val="00F5600F"/>
    <w:rsid w:val="00F57585"/>
    <w:rsid w:val="00F66B35"/>
    <w:rsid w:val="00F7416D"/>
    <w:rsid w:val="00F76189"/>
    <w:rsid w:val="00F906CE"/>
    <w:rsid w:val="00FA73BB"/>
    <w:rsid w:val="00FD26F6"/>
    <w:rsid w:val="00FE3189"/>
    <w:rsid w:val="00FF5CC1"/>
    <w:rsid w:val="01D53ED9"/>
    <w:rsid w:val="01E44FDB"/>
    <w:rsid w:val="01F81327"/>
    <w:rsid w:val="02181379"/>
    <w:rsid w:val="023A59E3"/>
    <w:rsid w:val="0242450E"/>
    <w:rsid w:val="0269205D"/>
    <w:rsid w:val="028F1CAB"/>
    <w:rsid w:val="02C02610"/>
    <w:rsid w:val="031C26FF"/>
    <w:rsid w:val="03E636D1"/>
    <w:rsid w:val="058A6DB0"/>
    <w:rsid w:val="06BF05CA"/>
    <w:rsid w:val="06C63909"/>
    <w:rsid w:val="076C65BF"/>
    <w:rsid w:val="07D01B5E"/>
    <w:rsid w:val="08D0230A"/>
    <w:rsid w:val="097016B6"/>
    <w:rsid w:val="09F410FD"/>
    <w:rsid w:val="0A7245E4"/>
    <w:rsid w:val="0A762672"/>
    <w:rsid w:val="0AA172D2"/>
    <w:rsid w:val="0AA84B8E"/>
    <w:rsid w:val="0AA86F15"/>
    <w:rsid w:val="0BAC28BC"/>
    <w:rsid w:val="0C3D2E56"/>
    <w:rsid w:val="0D440758"/>
    <w:rsid w:val="0D73549F"/>
    <w:rsid w:val="0D765E41"/>
    <w:rsid w:val="0DD214FD"/>
    <w:rsid w:val="0E354DA8"/>
    <w:rsid w:val="0EA55E32"/>
    <w:rsid w:val="0F4238EF"/>
    <w:rsid w:val="0F6B1117"/>
    <w:rsid w:val="0F9C6EF5"/>
    <w:rsid w:val="0FA748BD"/>
    <w:rsid w:val="101202ED"/>
    <w:rsid w:val="105372FC"/>
    <w:rsid w:val="1070593A"/>
    <w:rsid w:val="111475FA"/>
    <w:rsid w:val="113B6922"/>
    <w:rsid w:val="11974F03"/>
    <w:rsid w:val="11BD1733"/>
    <w:rsid w:val="120B1815"/>
    <w:rsid w:val="13241CD5"/>
    <w:rsid w:val="132C302A"/>
    <w:rsid w:val="133416C3"/>
    <w:rsid w:val="143B094E"/>
    <w:rsid w:val="145E2622"/>
    <w:rsid w:val="1466637A"/>
    <w:rsid w:val="150652CF"/>
    <w:rsid w:val="152139F9"/>
    <w:rsid w:val="159F14ED"/>
    <w:rsid w:val="161B5ADB"/>
    <w:rsid w:val="162F6EB7"/>
    <w:rsid w:val="163401D8"/>
    <w:rsid w:val="165D3655"/>
    <w:rsid w:val="16D47D99"/>
    <w:rsid w:val="16F03BEF"/>
    <w:rsid w:val="18124BB3"/>
    <w:rsid w:val="19133DCE"/>
    <w:rsid w:val="1A293B34"/>
    <w:rsid w:val="1A512FD2"/>
    <w:rsid w:val="1A5F77EB"/>
    <w:rsid w:val="1B7C046E"/>
    <w:rsid w:val="1B7E3E86"/>
    <w:rsid w:val="1BCB71EF"/>
    <w:rsid w:val="1C143B41"/>
    <w:rsid w:val="1C1764FC"/>
    <w:rsid w:val="1C59477E"/>
    <w:rsid w:val="1C6D34D3"/>
    <w:rsid w:val="1C7117ED"/>
    <w:rsid w:val="1CA500BE"/>
    <w:rsid w:val="1CAC5412"/>
    <w:rsid w:val="1CE144F0"/>
    <w:rsid w:val="1E0416D4"/>
    <w:rsid w:val="1ED47EF5"/>
    <w:rsid w:val="1EFD2C23"/>
    <w:rsid w:val="1F2563A0"/>
    <w:rsid w:val="1FD343F2"/>
    <w:rsid w:val="203239BC"/>
    <w:rsid w:val="205E01F7"/>
    <w:rsid w:val="20893A9B"/>
    <w:rsid w:val="20DD14B1"/>
    <w:rsid w:val="20E733A4"/>
    <w:rsid w:val="21452D04"/>
    <w:rsid w:val="2219621C"/>
    <w:rsid w:val="2249500F"/>
    <w:rsid w:val="240331FA"/>
    <w:rsid w:val="24817931"/>
    <w:rsid w:val="257B2253"/>
    <w:rsid w:val="25B6378F"/>
    <w:rsid w:val="25CC267F"/>
    <w:rsid w:val="26496BF8"/>
    <w:rsid w:val="26AD7CBE"/>
    <w:rsid w:val="27EF7426"/>
    <w:rsid w:val="284572F0"/>
    <w:rsid w:val="290A5AE6"/>
    <w:rsid w:val="29473526"/>
    <w:rsid w:val="29573555"/>
    <w:rsid w:val="2964062C"/>
    <w:rsid w:val="2A10038C"/>
    <w:rsid w:val="2A1A1682"/>
    <w:rsid w:val="2A201E4D"/>
    <w:rsid w:val="2B3F305F"/>
    <w:rsid w:val="2BAD7AED"/>
    <w:rsid w:val="2C023221"/>
    <w:rsid w:val="2C202D18"/>
    <w:rsid w:val="2CEF4B38"/>
    <w:rsid w:val="2D992FB2"/>
    <w:rsid w:val="2DD424EF"/>
    <w:rsid w:val="2E70635B"/>
    <w:rsid w:val="2E9D4B56"/>
    <w:rsid w:val="2EC57565"/>
    <w:rsid w:val="2ED76576"/>
    <w:rsid w:val="2F641D18"/>
    <w:rsid w:val="30A707DD"/>
    <w:rsid w:val="31086098"/>
    <w:rsid w:val="31D84986"/>
    <w:rsid w:val="31F44517"/>
    <w:rsid w:val="329E782E"/>
    <w:rsid w:val="32A327C5"/>
    <w:rsid w:val="32E763CA"/>
    <w:rsid w:val="330E3F79"/>
    <w:rsid w:val="332070DF"/>
    <w:rsid w:val="333A5312"/>
    <w:rsid w:val="344447C2"/>
    <w:rsid w:val="344A74DF"/>
    <w:rsid w:val="346568F8"/>
    <w:rsid w:val="355B2080"/>
    <w:rsid w:val="35A7779F"/>
    <w:rsid w:val="35EA3D29"/>
    <w:rsid w:val="360B0B13"/>
    <w:rsid w:val="36523422"/>
    <w:rsid w:val="36BF1E39"/>
    <w:rsid w:val="36FB0899"/>
    <w:rsid w:val="37133A94"/>
    <w:rsid w:val="37C71081"/>
    <w:rsid w:val="37C77221"/>
    <w:rsid w:val="38C14E0B"/>
    <w:rsid w:val="38EC4B1F"/>
    <w:rsid w:val="393373DA"/>
    <w:rsid w:val="393536A9"/>
    <w:rsid w:val="39B175FA"/>
    <w:rsid w:val="39E270DB"/>
    <w:rsid w:val="3A201A8E"/>
    <w:rsid w:val="3A2D20E6"/>
    <w:rsid w:val="3A44648A"/>
    <w:rsid w:val="3AB5273C"/>
    <w:rsid w:val="3AED3C4F"/>
    <w:rsid w:val="3B0F659C"/>
    <w:rsid w:val="3B2940BC"/>
    <w:rsid w:val="3BBD1A63"/>
    <w:rsid w:val="3C98352C"/>
    <w:rsid w:val="3CC1180E"/>
    <w:rsid w:val="3CF91CAE"/>
    <w:rsid w:val="3D010D73"/>
    <w:rsid w:val="3D3C500B"/>
    <w:rsid w:val="3D423D67"/>
    <w:rsid w:val="3D5A62AD"/>
    <w:rsid w:val="3D6D05FD"/>
    <w:rsid w:val="3E1D75F1"/>
    <w:rsid w:val="3E522CF1"/>
    <w:rsid w:val="3E7E150C"/>
    <w:rsid w:val="3EDB18D3"/>
    <w:rsid w:val="3EF92055"/>
    <w:rsid w:val="3F006021"/>
    <w:rsid w:val="3F3B4099"/>
    <w:rsid w:val="3F522C34"/>
    <w:rsid w:val="3FE76421"/>
    <w:rsid w:val="409F33AB"/>
    <w:rsid w:val="40C359D0"/>
    <w:rsid w:val="40E41AA5"/>
    <w:rsid w:val="41B76C3B"/>
    <w:rsid w:val="41BD0482"/>
    <w:rsid w:val="43111F47"/>
    <w:rsid w:val="43521AB6"/>
    <w:rsid w:val="437D3652"/>
    <w:rsid w:val="439E4DBC"/>
    <w:rsid w:val="43C84F50"/>
    <w:rsid w:val="43D53913"/>
    <w:rsid w:val="443172F5"/>
    <w:rsid w:val="448125AF"/>
    <w:rsid w:val="454D5B2F"/>
    <w:rsid w:val="46B52E09"/>
    <w:rsid w:val="46B825BD"/>
    <w:rsid w:val="46D96E0E"/>
    <w:rsid w:val="46E449D9"/>
    <w:rsid w:val="47030F61"/>
    <w:rsid w:val="47EF711A"/>
    <w:rsid w:val="484C021B"/>
    <w:rsid w:val="491C290C"/>
    <w:rsid w:val="49D51C82"/>
    <w:rsid w:val="4A491E49"/>
    <w:rsid w:val="4AAE3EA7"/>
    <w:rsid w:val="4B137364"/>
    <w:rsid w:val="4C4C1D7A"/>
    <w:rsid w:val="4C55535A"/>
    <w:rsid w:val="4CAB7C3B"/>
    <w:rsid w:val="4D605767"/>
    <w:rsid w:val="4DB3048E"/>
    <w:rsid w:val="4DC001D9"/>
    <w:rsid w:val="4EE81071"/>
    <w:rsid w:val="4EFB367E"/>
    <w:rsid w:val="4EFD60E9"/>
    <w:rsid w:val="4F165711"/>
    <w:rsid w:val="4FEE0B15"/>
    <w:rsid w:val="5015592D"/>
    <w:rsid w:val="50B42B81"/>
    <w:rsid w:val="512316A6"/>
    <w:rsid w:val="517E5F9C"/>
    <w:rsid w:val="52715EA5"/>
    <w:rsid w:val="53147856"/>
    <w:rsid w:val="533B1B4E"/>
    <w:rsid w:val="5352070E"/>
    <w:rsid w:val="53997070"/>
    <w:rsid w:val="53F27EA5"/>
    <w:rsid w:val="541D0DF1"/>
    <w:rsid w:val="5423717C"/>
    <w:rsid w:val="54280CF3"/>
    <w:rsid w:val="546E7755"/>
    <w:rsid w:val="54B35714"/>
    <w:rsid w:val="550C51FB"/>
    <w:rsid w:val="55146444"/>
    <w:rsid w:val="558A575B"/>
    <w:rsid w:val="55AD03B6"/>
    <w:rsid w:val="56714DB4"/>
    <w:rsid w:val="56722C31"/>
    <w:rsid w:val="56A72749"/>
    <w:rsid w:val="56B20379"/>
    <w:rsid w:val="57CA36D2"/>
    <w:rsid w:val="5805350B"/>
    <w:rsid w:val="58136B9B"/>
    <w:rsid w:val="585902AE"/>
    <w:rsid w:val="593E7833"/>
    <w:rsid w:val="59450190"/>
    <w:rsid w:val="59C5570A"/>
    <w:rsid w:val="59CC5606"/>
    <w:rsid w:val="5A0A1421"/>
    <w:rsid w:val="5A190056"/>
    <w:rsid w:val="5A720E53"/>
    <w:rsid w:val="5B561D62"/>
    <w:rsid w:val="5C2D297F"/>
    <w:rsid w:val="5CB871E6"/>
    <w:rsid w:val="5CCC5967"/>
    <w:rsid w:val="5D6344D7"/>
    <w:rsid w:val="5DFF415F"/>
    <w:rsid w:val="60253464"/>
    <w:rsid w:val="60362EDE"/>
    <w:rsid w:val="60C26468"/>
    <w:rsid w:val="60EB10E7"/>
    <w:rsid w:val="6140040B"/>
    <w:rsid w:val="61A124AC"/>
    <w:rsid w:val="625205D5"/>
    <w:rsid w:val="637676F8"/>
    <w:rsid w:val="638A4A74"/>
    <w:rsid w:val="63C522F2"/>
    <w:rsid w:val="64065861"/>
    <w:rsid w:val="66A84D83"/>
    <w:rsid w:val="67936E11"/>
    <w:rsid w:val="67B30E98"/>
    <w:rsid w:val="67DC45A0"/>
    <w:rsid w:val="67F0026F"/>
    <w:rsid w:val="695A283B"/>
    <w:rsid w:val="6A8D2C7C"/>
    <w:rsid w:val="6B527B11"/>
    <w:rsid w:val="6BBA52B5"/>
    <w:rsid w:val="6C7F6333"/>
    <w:rsid w:val="6C893744"/>
    <w:rsid w:val="6CC4275D"/>
    <w:rsid w:val="6CC9679F"/>
    <w:rsid w:val="6CF15023"/>
    <w:rsid w:val="6D8B1BE3"/>
    <w:rsid w:val="6D9C7839"/>
    <w:rsid w:val="6DDD7523"/>
    <w:rsid w:val="6ECB781D"/>
    <w:rsid w:val="70E372B5"/>
    <w:rsid w:val="710E18B2"/>
    <w:rsid w:val="71BE400F"/>
    <w:rsid w:val="71F247DF"/>
    <w:rsid w:val="7272174C"/>
    <w:rsid w:val="72C46429"/>
    <w:rsid w:val="730F34C4"/>
    <w:rsid w:val="7472321B"/>
    <w:rsid w:val="7493107B"/>
    <w:rsid w:val="75356F14"/>
    <w:rsid w:val="75862DD4"/>
    <w:rsid w:val="75C74D9F"/>
    <w:rsid w:val="76151DD5"/>
    <w:rsid w:val="76382B34"/>
    <w:rsid w:val="763D3D8D"/>
    <w:rsid w:val="76563379"/>
    <w:rsid w:val="76EF1EFA"/>
    <w:rsid w:val="77562203"/>
    <w:rsid w:val="77973630"/>
    <w:rsid w:val="77C8429D"/>
    <w:rsid w:val="78210EFC"/>
    <w:rsid w:val="78DF4BA6"/>
    <w:rsid w:val="78F97DC9"/>
    <w:rsid w:val="7954159C"/>
    <w:rsid w:val="79AF1F24"/>
    <w:rsid w:val="7B7207CB"/>
    <w:rsid w:val="7B9D5B69"/>
    <w:rsid w:val="7BDA033C"/>
    <w:rsid w:val="7C581C47"/>
    <w:rsid w:val="7C691CE0"/>
    <w:rsid w:val="7C9150C7"/>
    <w:rsid w:val="7D992A6B"/>
    <w:rsid w:val="7DDC5357"/>
    <w:rsid w:val="7E0211CF"/>
    <w:rsid w:val="7E351B1F"/>
    <w:rsid w:val="7EC33DA5"/>
    <w:rsid w:val="7F063EEE"/>
    <w:rsid w:val="7F367B95"/>
    <w:rsid w:val="7FB8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0"/>
    <w:pPr>
      <w:keepNext/>
      <w:keepLines/>
      <w:spacing w:before="260" w:after="260" w:line="413" w:lineRule="auto"/>
      <w:outlineLvl w:val="1"/>
    </w:pPr>
    <w:rPr>
      <w:rFonts w:ascii="Arial" w:hAnsi="Arial" w:eastAsia="黑体"/>
      <w:b/>
      <w:sz w:val="32"/>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semiHidden/>
    <w:unhideWhenUsed/>
    <w:uiPriority w:val="0"/>
    <w:pPr>
      <w:ind w:left="0"/>
    </w:pPr>
    <w:rPr>
      <w:rFonts w:ascii="Microsoft JhengHei" w:hAnsi="Microsoft JhengHei" w:eastAsia="宋体" w:cs="Times New Roman"/>
      <w:kern w:val="2"/>
      <w:szCs w:val="21"/>
      <w:lang w:eastAsia="zh-CN"/>
    </w:rPr>
  </w:style>
  <w:style w:type="paragraph" w:styleId="4">
    <w:name w:val="Body Text 2"/>
    <w:basedOn w:val="1"/>
    <w:semiHidden/>
    <w:unhideWhenUsed/>
    <w:qFormat/>
    <w:uiPriority w:val="0"/>
    <w:pPr>
      <w:spacing w:after="120" w:afterLines="0" w:afterAutospacing="0" w:line="480" w:lineRule="auto"/>
    </w:pPr>
  </w:style>
  <w:style w:type="paragraph" w:styleId="5">
    <w:name w:val="Balloon Text"/>
    <w:basedOn w:val="1"/>
    <w:link w:val="57"/>
    <w:semiHidden/>
    <w:unhideWhenUsed/>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Calibri" w:hAnsi="Calibri" w:eastAsia="宋体" w:cs="Calibri"/>
      <w:kern w:val="0"/>
      <w:sz w:val="24"/>
      <w:szCs w:val="24"/>
    </w:r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basedOn w:val="10"/>
    <w:qFormat/>
    <w:uiPriority w:val="99"/>
    <w:rPr>
      <w:color w:val="auto"/>
      <w:u w:val="none"/>
    </w:rPr>
  </w:style>
  <w:style w:type="character" w:customStyle="1" w:styleId="14">
    <w:name w:val="标题 2 Char"/>
    <w:basedOn w:val="10"/>
    <w:link w:val="2"/>
    <w:qFormat/>
    <w:uiPriority w:val="0"/>
    <w:rPr>
      <w:rFonts w:ascii="Arial" w:hAnsi="Arial" w:eastAsia="黑体" w:cstheme="minorBidi"/>
      <w:b/>
      <w:kern w:val="2"/>
      <w:sz w:val="32"/>
      <w:szCs w:val="24"/>
    </w:rPr>
  </w:style>
  <w:style w:type="character" w:customStyle="1" w:styleId="15">
    <w:name w:val="页脚 Char"/>
    <w:basedOn w:val="10"/>
    <w:link w:val="6"/>
    <w:qFormat/>
    <w:uiPriority w:val="99"/>
    <w:rPr>
      <w:rFonts w:asciiTheme="minorHAnsi" w:hAnsiTheme="minorHAnsi" w:eastAsiaTheme="minorEastAsia" w:cstheme="minorBidi"/>
      <w:kern w:val="2"/>
      <w:sz w:val="18"/>
      <w:szCs w:val="18"/>
    </w:rPr>
  </w:style>
  <w:style w:type="character" w:customStyle="1" w:styleId="16">
    <w:name w:val="页眉 Char"/>
    <w:basedOn w:val="10"/>
    <w:link w:val="7"/>
    <w:qFormat/>
    <w:uiPriority w:val="99"/>
    <w:rPr>
      <w:rFonts w:asciiTheme="minorHAnsi" w:hAnsiTheme="minorHAnsi" w:eastAsiaTheme="minorEastAsia" w:cstheme="minorBidi"/>
      <w:kern w:val="2"/>
      <w:sz w:val="18"/>
      <w:szCs w:val="18"/>
    </w:rPr>
  </w:style>
  <w:style w:type="paragraph" w:customStyle="1" w:styleId="17">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font01"/>
    <w:basedOn w:val="10"/>
    <w:qFormat/>
    <w:uiPriority w:val="0"/>
    <w:rPr>
      <w:rFonts w:hint="eastAsia" w:ascii="宋体" w:hAnsi="宋体" w:eastAsia="宋体" w:cs="宋体"/>
      <w:color w:val="000000"/>
      <w:sz w:val="20"/>
      <w:szCs w:val="20"/>
      <w:u w:val="none"/>
    </w:rPr>
  </w:style>
  <w:style w:type="paragraph" w:customStyle="1" w:styleId="1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styleId="28">
    <w:name w:val="List Paragraph"/>
    <w:basedOn w:val="1"/>
    <w:unhideWhenUsed/>
    <w:qFormat/>
    <w:uiPriority w:val="99"/>
    <w:pPr>
      <w:ind w:firstLine="420" w:firstLineChars="200"/>
    </w:pPr>
    <w:rPr>
      <w:szCs w:val="24"/>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0">
    <w:name w:val="font7"/>
    <w:basedOn w:val="1"/>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31">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2"/>
      <w:szCs w:val="32"/>
    </w:rPr>
  </w:style>
  <w:style w:type="paragraph" w:customStyle="1" w:styleId="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1">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2">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2"/>
      <w:szCs w:val="32"/>
    </w:rPr>
  </w:style>
  <w:style w:type="character" w:customStyle="1" w:styleId="44">
    <w:name w:val="font61"/>
    <w:basedOn w:val="10"/>
    <w:qFormat/>
    <w:uiPriority w:val="0"/>
    <w:rPr>
      <w:rFonts w:hint="eastAsia" w:ascii="宋体" w:hAnsi="宋体" w:eastAsia="宋体" w:cs="宋体"/>
      <w:color w:val="000000"/>
      <w:sz w:val="28"/>
      <w:szCs w:val="28"/>
      <w:u w:val="none"/>
    </w:rPr>
  </w:style>
  <w:style w:type="character" w:customStyle="1" w:styleId="45">
    <w:name w:val="font81"/>
    <w:basedOn w:val="10"/>
    <w:qFormat/>
    <w:uiPriority w:val="0"/>
    <w:rPr>
      <w:rFonts w:hint="eastAsia" w:ascii="宋体" w:hAnsi="宋体" w:eastAsia="宋体" w:cs="宋体"/>
      <w:color w:val="000000"/>
      <w:sz w:val="32"/>
      <w:szCs w:val="32"/>
      <w:u w:val="none"/>
    </w:rPr>
  </w:style>
  <w:style w:type="character" w:customStyle="1" w:styleId="46">
    <w:name w:val="font31"/>
    <w:basedOn w:val="10"/>
    <w:qFormat/>
    <w:uiPriority w:val="0"/>
    <w:rPr>
      <w:rFonts w:hint="eastAsia" w:ascii="宋体" w:hAnsi="宋体" w:eastAsia="宋体" w:cs="宋体"/>
      <w:color w:val="000000"/>
      <w:sz w:val="24"/>
      <w:szCs w:val="24"/>
      <w:u w:val="none"/>
    </w:rPr>
  </w:style>
  <w:style w:type="character" w:customStyle="1" w:styleId="47">
    <w:name w:val="font71"/>
    <w:basedOn w:val="10"/>
    <w:qFormat/>
    <w:uiPriority w:val="0"/>
    <w:rPr>
      <w:rFonts w:hint="eastAsia" w:ascii="宋体" w:hAnsi="宋体" w:eastAsia="宋体" w:cs="宋体"/>
      <w:b/>
      <w:color w:val="000000"/>
      <w:sz w:val="28"/>
      <w:szCs w:val="28"/>
      <w:u w:val="none"/>
    </w:rPr>
  </w:style>
  <w:style w:type="character" w:customStyle="1" w:styleId="48">
    <w:name w:val="font41"/>
    <w:basedOn w:val="10"/>
    <w:qFormat/>
    <w:uiPriority w:val="0"/>
    <w:rPr>
      <w:rFonts w:hint="eastAsia" w:ascii="宋体" w:hAnsi="宋体" w:eastAsia="宋体" w:cs="宋体"/>
      <w:b/>
      <w:color w:val="000000"/>
      <w:sz w:val="20"/>
      <w:szCs w:val="20"/>
      <w:u w:val="none"/>
    </w:rPr>
  </w:style>
  <w:style w:type="character" w:customStyle="1" w:styleId="49">
    <w:name w:val="font121"/>
    <w:basedOn w:val="10"/>
    <w:qFormat/>
    <w:uiPriority w:val="0"/>
    <w:rPr>
      <w:rFonts w:ascii="仿宋" w:hAnsi="仿宋" w:eastAsia="仿宋" w:cs="仿宋"/>
      <w:b/>
      <w:color w:val="000000"/>
      <w:sz w:val="20"/>
      <w:szCs w:val="20"/>
      <w:u w:val="none"/>
    </w:rPr>
  </w:style>
  <w:style w:type="character" w:customStyle="1" w:styleId="50">
    <w:name w:val="font51"/>
    <w:basedOn w:val="10"/>
    <w:qFormat/>
    <w:uiPriority w:val="0"/>
    <w:rPr>
      <w:rFonts w:hint="eastAsia" w:ascii="宋体" w:hAnsi="宋体" w:eastAsia="宋体" w:cs="宋体"/>
      <w:color w:val="000000"/>
      <w:sz w:val="20"/>
      <w:szCs w:val="20"/>
      <w:u w:val="none"/>
    </w:rPr>
  </w:style>
  <w:style w:type="character" w:customStyle="1" w:styleId="51">
    <w:name w:val="font101"/>
    <w:basedOn w:val="10"/>
    <w:qFormat/>
    <w:uiPriority w:val="0"/>
    <w:rPr>
      <w:rFonts w:hint="default" w:ascii="Times New Roman" w:hAnsi="Times New Roman" w:cs="Times New Roman"/>
      <w:color w:val="000000"/>
      <w:sz w:val="20"/>
      <w:szCs w:val="20"/>
      <w:u w:val="none"/>
    </w:rPr>
  </w:style>
  <w:style w:type="character" w:customStyle="1" w:styleId="52">
    <w:name w:val="font21"/>
    <w:basedOn w:val="10"/>
    <w:qFormat/>
    <w:uiPriority w:val="0"/>
    <w:rPr>
      <w:rFonts w:hint="eastAsia" w:ascii="宋体" w:hAnsi="宋体" w:eastAsia="宋体" w:cs="宋体"/>
      <w:b/>
      <w:color w:val="000000"/>
      <w:sz w:val="32"/>
      <w:szCs w:val="32"/>
      <w:u w:val="none"/>
    </w:rPr>
  </w:style>
  <w:style w:type="character" w:customStyle="1" w:styleId="53">
    <w:name w:val="font111"/>
    <w:basedOn w:val="10"/>
    <w:qFormat/>
    <w:uiPriority w:val="0"/>
    <w:rPr>
      <w:rFonts w:hint="eastAsia" w:ascii="宋体" w:hAnsi="宋体" w:eastAsia="宋体" w:cs="宋体"/>
      <w:color w:val="000000"/>
      <w:sz w:val="32"/>
      <w:szCs w:val="32"/>
      <w:u w:val="none"/>
    </w:rPr>
  </w:style>
  <w:style w:type="character" w:customStyle="1" w:styleId="54">
    <w:name w:val="font91"/>
    <w:basedOn w:val="10"/>
    <w:qFormat/>
    <w:uiPriority w:val="0"/>
    <w:rPr>
      <w:rFonts w:hint="eastAsia" w:ascii="宋体" w:hAnsi="宋体" w:eastAsia="宋体" w:cs="宋体"/>
      <w:color w:val="000000"/>
      <w:sz w:val="20"/>
      <w:szCs w:val="20"/>
      <w:u w:val="none"/>
      <w:vertAlign w:val="superscript"/>
    </w:rPr>
  </w:style>
  <w:style w:type="character" w:customStyle="1" w:styleId="55">
    <w:name w:val="font12"/>
    <w:basedOn w:val="10"/>
    <w:qFormat/>
    <w:uiPriority w:val="0"/>
    <w:rPr>
      <w:rFonts w:hint="eastAsia" w:ascii="宋体" w:hAnsi="宋体" w:eastAsia="宋体" w:cs="宋体"/>
      <w:color w:val="000000"/>
      <w:sz w:val="20"/>
      <w:szCs w:val="20"/>
      <w:u w:val="none"/>
    </w:rPr>
  </w:style>
  <w:style w:type="character" w:customStyle="1" w:styleId="56">
    <w:name w:val="font112"/>
    <w:basedOn w:val="10"/>
    <w:qFormat/>
    <w:uiPriority w:val="0"/>
    <w:rPr>
      <w:rFonts w:hint="eastAsia" w:ascii="宋体" w:hAnsi="宋体" w:eastAsia="宋体" w:cs="宋体"/>
      <w:color w:val="000000"/>
      <w:sz w:val="32"/>
      <w:szCs w:val="32"/>
      <w:u w:val="none"/>
    </w:rPr>
  </w:style>
  <w:style w:type="character" w:customStyle="1" w:styleId="57">
    <w:name w:val="批注框文本 Char"/>
    <w:basedOn w:val="10"/>
    <w:link w:val="5"/>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2059</Words>
  <Characters>2363</Characters>
  <Lines>43</Lines>
  <Paragraphs>12</Paragraphs>
  <TotalTime>4</TotalTime>
  <ScaleCrop>false</ScaleCrop>
  <LinksUpToDate>false</LinksUpToDate>
  <CharactersWithSpaces>2408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2018-10-29T08:47:00Z</dcterms:created>
  <dc:creator>Administrator</dc:creator>
  <cp:lastModifiedBy>คิดถึง</cp:lastModifiedBy>
  <cp:lastPrinted>2019-09-20T03:41:00Z</cp:lastPrinted>
  <dcterms:modified xsi:type="dcterms:W3CDTF">2024-06-27T03:26:33Z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F2AEBED7767D4415A23E6294DF459676_13</vt:lpwstr>
  </property>
</Properties>
</file>