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仿宋" w:hAnsi="仿宋" w:eastAsia="仿宋" w:cs="黑体"/>
          <w:b/>
          <w:bCs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黑体"/>
          <w:b/>
          <w:bCs w:val="0"/>
          <w:sz w:val="32"/>
          <w:szCs w:val="32"/>
        </w:rPr>
        <w:t>附件1:</w:t>
      </w:r>
    </w:p>
    <w:bookmarkEnd w:id="0"/>
    <w:p>
      <w:pPr>
        <w:spacing w:line="240" w:lineRule="auto"/>
        <w:jc w:val="center"/>
        <w:rPr>
          <w:rStyle w:val="7"/>
          <w:rFonts w:hint="eastAsia" w:ascii="黑体" w:hAnsi="黑体" w:eastAsia="黑体" w:cs="黑体"/>
          <w:b w:val="0"/>
          <w:sz w:val="44"/>
          <w:szCs w:val="44"/>
        </w:rPr>
      </w:pPr>
      <w:r>
        <w:rPr>
          <w:rStyle w:val="7"/>
          <w:rFonts w:hint="eastAsia" w:ascii="黑体" w:hAnsi="黑体" w:eastAsia="黑体" w:cs="黑体"/>
          <w:b w:val="0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shd w:val="clear" w:color="auto" w:fill="FFFFFF"/>
          <w:lang w:eastAsia="zh-CN"/>
        </w:rPr>
        <w:t>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2760-2014《食品安全国家标准 食品添加剂使用标准》。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粮食加工品抽检项目包括苯甲酸及其钠盐（以苯甲酸计）、山梨酸及其钾盐（以山梨酸计）、脱氢乙酸及其钠盐（以脱氢乙酸计）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二、食用油、油脂及其制品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2760-2014《食品安全国家标准 食品添加剂使用标准》、GB 2762-2017《食品安全国家标准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2716-2018《食品安全国家标准 植物油》、产品明示标准和质量要求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食用油、油脂及其制品抽检项目包括苯并[a]芘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溶剂残留量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特丁基对苯二酚（TBHQ）。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三、调味品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抽检依据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抽检依据GB 2760-2014《食品安全国家标准 食品添加剂使用标准》、GB 2762-2017《食品安全国家标准 食品中污染物限量》整顿办函〔2011〕1 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（二）检验项目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调味品抽检项目包括苯甲酸及其钠盐（以苯甲酸计）、山梨酸及其钾盐（以山梨酸计）、脱氢乙酸及其钠盐（以脱氢乙酸计）、铅（以 Pb 计）、苏丹红I、 苏丹红II、 苏丹红III、苏丹红 IV。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13102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-2010《食品安全国家标准 炼乳》、</w:t>
      </w:r>
      <w:r>
        <w:rPr>
          <w:rFonts w:hint="eastAsia" w:ascii="仿宋" w:hAnsi="仿宋" w:eastAsia="仿宋" w:cs="仿宋_GB2312"/>
          <w:sz w:val="32"/>
          <w:szCs w:val="32"/>
        </w:rPr>
        <w:t>卫生部、工业和信息化部、农业部、工商总局质检总局公告 2011年第 10 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乳制品抽检项目包括</w:t>
      </w:r>
      <w:r>
        <w:rPr>
          <w:rFonts w:hint="eastAsia" w:ascii="仿宋" w:hAnsi="仿宋" w:eastAsia="仿宋" w:cs="仿宋_GB2312"/>
          <w:sz w:val="32"/>
          <w:szCs w:val="32"/>
        </w:rPr>
        <w:t>蛋白质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三聚氰胺。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五、饮料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" w:hAnsi="仿宋" w:eastAsia="仿宋" w:cs="黑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抽检依据GB 2760-2014《食品安全国家标准 食品添加剂使用标准》、</w:t>
      </w:r>
      <w:r>
        <w:rPr>
          <w:rFonts w:hint="eastAsia" w:ascii="仿宋" w:hAnsi="仿宋" w:eastAsia="仿宋" w:cs="仿宋_GB2312"/>
          <w:sz w:val="32"/>
          <w:szCs w:val="32"/>
        </w:rPr>
        <w:t>卫生部、工业和信息化部、农业部、工商总局质检总局公告 2011年第 10 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" w:hAnsi="仿宋" w:eastAsia="仿宋" w:cs="黑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黑体"/>
          <w:bCs/>
          <w:sz w:val="32"/>
          <w:szCs w:val="32"/>
          <w:lang w:eastAsia="zh-CN"/>
        </w:rPr>
        <w:t>饮料抽检项目包括</w:t>
      </w:r>
      <w:r>
        <w:rPr>
          <w:rFonts w:hint="eastAsia" w:ascii="仿宋" w:hAnsi="仿宋" w:eastAsia="仿宋" w:cs="黑体"/>
          <w:bCs/>
          <w:sz w:val="32"/>
          <w:szCs w:val="32"/>
        </w:rPr>
        <w:t>蛋白质</w:t>
      </w:r>
      <w:r>
        <w:rPr>
          <w:rFonts w:hint="eastAsia" w:ascii="仿宋" w:hAnsi="仿宋" w:eastAsia="仿宋" w:cs="黑体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黑体"/>
          <w:bCs/>
          <w:sz w:val="32"/>
          <w:szCs w:val="32"/>
        </w:rPr>
        <w:t>三聚氰胺</w:t>
      </w:r>
      <w:r>
        <w:rPr>
          <w:rFonts w:hint="eastAsia" w:ascii="仿宋" w:hAnsi="仿宋" w:eastAsia="仿宋" w:cs="黑体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黑体"/>
          <w:bCs/>
          <w:sz w:val="32"/>
          <w:szCs w:val="32"/>
        </w:rPr>
        <w:t>糖精钠（以糖精计）</w:t>
      </w:r>
      <w:r>
        <w:rPr>
          <w:rFonts w:hint="eastAsia" w:ascii="仿宋" w:hAnsi="仿宋" w:eastAsia="仿宋" w:cs="黑体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黑体"/>
          <w:bCs/>
          <w:sz w:val="32"/>
          <w:szCs w:val="32"/>
        </w:rPr>
        <w:t>甜蜜素（以环己基氨基磺酸计）</w:t>
      </w:r>
      <w:r>
        <w:rPr>
          <w:rFonts w:hint="eastAsia" w:ascii="仿宋" w:hAnsi="仿宋" w:eastAsia="仿宋" w:cs="黑体"/>
          <w:bCs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六、茶叶及其相关制品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 xml:space="preserve">（一）抽检依据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2763-201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《食品安全国家标准 食品中农药最大残留限量》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eastAsia="zh-CN"/>
        </w:rPr>
        <w:t>茶叶及其相关制品抽检项目包括</w:t>
      </w:r>
      <w:r>
        <w:rPr>
          <w:rFonts w:hint="eastAsia" w:ascii="仿宋" w:hAnsi="仿宋" w:eastAsia="仿宋" w:cs="楷体_GB2312"/>
          <w:bCs/>
          <w:sz w:val="32"/>
          <w:szCs w:val="32"/>
        </w:rPr>
        <w:t>啶虫脒</w:t>
      </w:r>
      <w:r>
        <w:rPr>
          <w:rFonts w:hint="eastAsia" w:ascii="仿宋" w:hAnsi="仿宋" w:eastAsia="仿宋" w:cs="楷体_GB2312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楷体_GB2312"/>
          <w:bCs/>
          <w:sz w:val="32"/>
          <w:szCs w:val="32"/>
        </w:rPr>
        <w:t>吡蚜酮</w:t>
      </w:r>
      <w:r>
        <w:rPr>
          <w:rFonts w:hint="eastAsia" w:ascii="仿宋" w:hAnsi="仿宋" w:eastAsia="仿宋" w:cs="楷体_GB2312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楷体_GB2312"/>
          <w:bCs/>
          <w:sz w:val="32"/>
          <w:szCs w:val="32"/>
        </w:rPr>
        <w:t>敌百虫</w:t>
      </w:r>
      <w:r>
        <w:rPr>
          <w:rFonts w:hint="eastAsia" w:ascii="仿宋" w:hAnsi="仿宋" w:eastAsia="仿宋" w:cs="楷体_GB2312"/>
          <w:bCs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七、蔬菜制品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 xml:space="preserve">（一）抽检依据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楷体_GB2312"/>
          <w:bCs/>
          <w:kern w:val="2"/>
          <w:sz w:val="32"/>
          <w:szCs w:val="32"/>
          <w:lang w:val="en-US" w:eastAsia="zh-CN" w:bidi="ar-SA"/>
        </w:rPr>
        <w:t>抽检依据抽检依据GB 2760-2014《食品安全国家标准 食品添加剂使用标准》、GB 2762-2017《食品安全国家标准 食品中污染物限量》。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楷体_GB2312"/>
          <w:bCs/>
          <w:kern w:val="2"/>
          <w:sz w:val="32"/>
          <w:szCs w:val="32"/>
          <w:lang w:val="en-US" w:eastAsia="zh-CN" w:bidi="ar-SA"/>
        </w:rPr>
        <w:t>蔬菜制品抽检项目包括铅（以 Pb 计）、总砷（以 As 计）、二氧化硫残留量。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八、水果制品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 xml:space="preserve">（一）抽检依据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eastAsia="zh-CN"/>
        </w:rPr>
        <w:t>抽检依据</w:t>
      </w:r>
      <w:r>
        <w:rPr>
          <w:rFonts w:hint="eastAsia" w:ascii="仿宋" w:hAnsi="仿宋" w:eastAsia="仿宋" w:cs="楷体_GB2312"/>
          <w:bCs/>
          <w:kern w:val="2"/>
          <w:sz w:val="32"/>
          <w:szCs w:val="32"/>
          <w:lang w:val="en-US" w:eastAsia="zh-CN" w:bidi="ar-SA"/>
        </w:rPr>
        <w:t>抽检依据抽检依据GB 2760-2014《食品安全国家标准 食品添加剂使用标准》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 xml:space="preserve">水果制品抽检项目包括山梨酸及其钾盐（以山梨酸计）、糖精钠（以糖精计）。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九、蛋制品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 xml:space="preserve">（一）抽检依据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楷体_GB2312"/>
          <w:bCs/>
          <w:kern w:val="2"/>
          <w:sz w:val="32"/>
          <w:szCs w:val="32"/>
          <w:lang w:val="en-US" w:eastAsia="zh-CN" w:bidi="ar-SA"/>
        </w:rPr>
        <w:t>抽检依据抽检依据GB 2760-2014《食品安全国家标准 食品添加剂使用标准》、GB 2762-2017《食品安全国家标准 食品中污染物限量》。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eastAsia="zh-CN"/>
        </w:rPr>
        <w:t>蛋制品抽检项目包括</w:t>
      </w:r>
      <w:r>
        <w:rPr>
          <w:rFonts w:hint="eastAsia" w:ascii="仿宋" w:hAnsi="仿宋" w:eastAsia="仿宋" w:cs="楷体_GB2312"/>
          <w:bCs/>
          <w:sz w:val="32"/>
          <w:szCs w:val="32"/>
        </w:rPr>
        <w:t>铅（以 Pb 计）</w:t>
      </w:r>
      <w:r>
        <w:rPr>
          <w:rFonts w:hint="eastAsia" w:ascii="仿宋" w:hAnsi="仿宋" w:eastAsia="仿宋" w:cs="楷体_GB2312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楷体_GB2312"/>
          <w:bCs/>
          <w:sz w:val="32"/>
          <w:szCs w:val="32"/>
        </w:rPr>
        <w:t>苯甲酸及其钠盐（以苯甲酸计）</w:t>
      </w:r>
      <w:r>
        <w:rPr>
          <w:rFonts w:hint="eastAsia" w:ascii="仿宋" w:hAnsi="仿宋" w:eastAsia="仿宋" w:cs="楷体_GB2312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楷体_GB2312"/>
          <w:bCs/>
          <w:sz w:val="32"/>
          <w:szCs w:val="32"/>
        </w:rPr>
        <w:t>山梨酸及其钾盐（以山梨酸计）</w:t>
      </w:r>
      <w:r>
        <w:rPr>
          <w:rFonts w:hint="eastAsia" w:ascii="仿宋" w:hAnsi="仿宋" w:eastAsia="仿宋" w:cs="楷体_GB2312"/>
          <w:bCs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十、豆制品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2760-2014《食品安全国家标准 食品添加剂使用标准》。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豆制品抽检项目包括苯甲酸及其钠盐（以苯甲酸计）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山梨酸及其钾盐（以山梨酸计）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脱氢乙酸及其钠盐（以脱氢乙酸计）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十一、餐饮食品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（一）抽检依据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default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eastAsia="zh-CN"/>
        </w:rPr>
        <w:t>抽检依据</w:t>
      </w:r>
      <w:r>
        <w:rPr>
          <w:rFonts w:hint="eastAsia" w:ascii="仿宋" w:hAnsi="仿宋" w:eastAsia="仿宋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2761-2017《食品安全国家标准 食品中真菌毒素限量》、</w:t>
      </w:r>
      <w:r>
        <w:rPr>
          <w:rFonts w:hint="eastAsia" w:ascii="仿宋" w:hAnsi="仿宋" w:eastAsia="仿宋" w:cs="楷体_GB2312"/>
          <w:bCs/>
          <w:kern w:val="2"/>
          <w:sz w:val="32"/>
          <w:szCs w:val="32"/>
          <w:lang w:val="en-US" w:eastAsia="zh-CN" w:bidi="ar-SA"/>
        </w:rPr>
        <w:t>GB 2762-2017《食品安全国家标准 食品中污染物限量》、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食品整治办【2008】3号。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（二）检验项目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</w:rPr>
        <w:t>苯甲酸及其钠盐（以苯甲酸计）</w:t>
      </w:r>
      <w:r>
        <w:rPr>
          <w:rFonts w:hint="eastAsia" w:ascii="仿宋" w:hAnsi="仿宋" w:eastAsia="仿宋" w:cs="楷体_GB2312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楷体_GB2312"/>
          <w:bCs/>
          <w:sz w:val="32"/>
          <w:szCs w:val="32"/>
        </w:rPr>
        <w:t>山梨酸及其钾盐（以山梨酸计）</w:t>
      </w:r>
      <w:r>
        <w:rPr>
          <w:rFonts w:hint="eastAsia" w:ascii="仿宋" w:hAnsi="仿宋" w:eastAsia="仿宋" w:cs="楷体_GB2312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楷体_GB2312"/>
          <w:bCs/>
          <w:sz w:val="32"/>
          <w:szCs w:val="32"/>
        </w:rPr>
        <w:t>糖精钠（以糖精计）</w:t>
      </w:r>
      <w:r>
        <w:rPr>
          <w:rFonts w:hint="eastAsia" w:ascii="仿宋" w:hAnsi="仿宋" w:eastAsia="仿宋" w:cs="楷体_GB2312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楷体_GB2312"/>
          <w:bCs/>
          <w:sz w:val="32"/>
          <w:szCs w:val="32"/>
        </w:rPr>
        <w:t>黄曲霉毒素 B1</w:t>
      </w:r>
      <w:r>
        <w:rPr>
          <w:rFonts w:hint="eastAsia" w:ascii="仿宋" w:hAnsi="仿宋" w:eastAsia="仿宋" w:cs="楷体_GB2312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楷体_GB2312"/>
          <w:bCs/>
          <w:sz w:val="32"/>
          <w:szCs w:val="32"/>
        </w:rPr>
        <w:t>罂粟碱</w:t>
      </w:r>
      <w:r>
        <w:rPr>
          <w:rFonts w:hint="eastAsia" w:ascii="仿宋" w:hAnsi="仿宋" w:eastAsia="仿宋" w:cs="楷体_GB2312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楷体_GB2312"/>
          <w:bCs/>
          <w:sz w:val="32"/>
          <w:szCs w:val="32"/>
        </w:rPr>
        <w:t>吗啡</w:t>
      </w:r>
      <w:r>
        <w:rPr>
          <w:rFonts w:hint="eastAsia" w:ascii="仿宋" w:hAnsi="仿宋" w:eastAsia="仿宋" w:cs="楷体_GB2312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楷体_GB2312"/>
          <w:bCs/>
          <w:sz w:val="32"/>
          <w:szCs w:val="32"/>
        </w:rPr>
        <w:t>可待因</w:t>
      </w:r>
      <w:r>
        <w:rPr>
          <w:rFonts w:hint="eastAsia" w:ascii="仿宋" w:hAnsi="仿宋" w:eastAsia="仿宋" w:cs="楷体_GB2312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楷体_GB2312"/>
          <w:bCs/>
          <w:sz w:val="32"/>
          <w:szCs w:val="32"/>
        </w:rPr>
        <w:t>那可丁</w:t>
      </w:r>
      <w:r>
        <w:rPr>
          <w:rFonts w:hint="eastAsia" w:ascii="仿宋" w:hAnsi="仿宋" w:eastAsia="仿宋" w:cs="楷体_GB2312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楷体_GB2312"/>
          <w:bCs/>
          <w:sz w:val="32"/>
          <w:szCs w:val="32"/>
        </w:rPr>
        <w:t>蒂巴因</w:t>
      </w:r>
      <w:r>
        <w:rPr>
          <w:rFonts w:hint="eastAsia" w:ascii="仿宋" w:hAnsi="仿宋" w:eastAsia="仿宋" w:cs="楷体_GB2312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楷体_GB2312"/>
          <w:bCs/>
          <w:sz w:val="32"/>
          <w:szCs w:val="32"/>
        </w:rPr>
        <w:t>铬（以 Cr 计）</w:t>
      </w:r>
      <w:r>
        <w:rPr>
          <w:rFonts w:hint="eastAsia" w:ascii="仿宋" w:hAnsi="仿宋" w:eastAsia="仿宋" w:cs="楷体_GB2312"/>
          <w:bCs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十二、食用农产品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（一）抽检依据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2763-201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《食品安全国家标准 食品中农药最大残留限量》。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食用农产品抽检项目包括氧乐果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水胺硫磷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甲拌磷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氯氟氰菊酯和高效氯氟氰菊酯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多菌灵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灭多威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毒死蜱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氯氰菊酯和高效氯氰菊酯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克百威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乐果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久效磷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甲胺磷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甲基异柳磷丙溴磷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三唑醇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氟虫腈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辛硫磷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噻虫嗪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甲霜灵和精甲霜灵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</w:p>
    <w:p>
      <w:pPr>
        <w:spacing w:line="240" w:lineRule="auto"/>
      </w:pPr>
      <w:r>
        <w:rPr>
          <w:rFonts w:hint="eastAsia" w:ascii="仿宋" w:hAnsi="仿宋" w:eastAsia="仿宋" w:cs="仿宋_GB2312"/>
          <w:sz w:val="32"/>
          <w:szCs w:val="32"/>
        </w:rPr>
        <w:t>敌敌畏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啶虫脒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sectPr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93F28"/>
    <w:rsid w:val="263C4B16"/>
    <w:rsid w:val="355D6CF1"/>
    <w:rsid w:val="36941A15"/>
    <w:rsid w:val="42E93F28"/>
    <w:rsid w:val="61375C29"/>
    <w:rsid w:val="64144B41"/>
    <w:rsid w:val="65860E5F"/>
    <w:rsid w:val="6B38692B"/>
    <w:rsid w:val="6FBD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7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0"/>
    <w:pPr>
      <w:ind w:left="0"/>
    </w:pPr>
    <w:rPr>
      <w:rFonts w:ascii="Microsoft JhengHei" w:hAnsi="Microsoft JhengHei" w:eastAsia="宋体" w:cs="Times New Roman"/>
      <w:kern w:val="2"/>
      <w:szCs w:val="21"/>
      <w:lang w:eastAsia="zh-CN"/>
    </w:rPr>
  </w:style>
  <w:style w:type="paragraph" w:styleId="3">
    <w:name w:val="Body Text 2"/>
    <w:basedOn w:val="1"/>
    <w:semiHidden/>
    <w:unhideWhenUsed/>
    <w:qFormat/>
    <w:uiPriority w:val="0"/>
    <w:pPr>
      <w:spacing w:after="120" w:afterLines="0" w:afterAutospacing="0" w:line="480" w:lineRule="auto"/>
    </w:pPr>
  </w:style>
  <w:style w:type="character" w:customStyle="1" w:styleId="7">
    <w:name w:val="标题 2 Char"/>
    <w:basedOn w:val="6"/>
    <w:link w:val="4"/>
    <w:qFormat/>
    <w:uiPriority w:val="0"/>
    <w:rPr>
      <w:rFonts w:ascii="Arial" w:hAnsi="Arial" w:eastAsia="黑体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2020-10-14T08:21:00Z</dcterms:created>
  <dc:creator>帆</dc:creator>
  <cp:lastModifiedBy>帆</cp:lastModifiedBy>
  <dcterms:modified xsi:type="dcterms:W3CDTF">2020-10-19T01:23:13Z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