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sz w:val="44"/>
        </w:rPr>
        <mc:AlternateContent>
          <mc:Choice Requires="wps">
            <w:drawing>
              <wp:anchor distT="0" distB="0" distL="114300" distR="114300" simplePos="0" relativeHeight="251658240" behindDoc="0" locked="0" layoutInCell="1" allowOverlap="1">
                <wp:simplePos x="0" y="0"/>
                <wp:positionH relativeFrom="column">
                  <wp:posOffset>-254000</wp:posOffset>
                </wp:positionH>
                <wp:positionV relativeFrom="paragraph">
                  <wp:posOffset>-393700</wp:posOffset>
                </wp:positionV>
                <wp:extent cx="747395" cy="4762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47395" cy="476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val="0"/>
                                <w:bCs w:val="0"/>
                                <w:color w:val="000000" w:themeColor="text1"/>
                                <w:sz w:val="28"/>
                                <w:szCs w:val="28"/>
                                <w:lang w:val="en-US" w:eastAsia="zh-CN"/>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仿宋" w:hAnsi="仿宋" w:eastAsia="仿宋" w:cs="仿宋"/>
                                <w:b w:val="0"/>
                                <w:bCs w:val="0"/>
                                <w:color w:val="000000" w:themeColor="text1"/>
                                <w:sz w:val="28"/>
                                <w:szCs w:val="28"/>
                                <w:lang w:eastAsia="zh-CN"/>
                                <w14:shadow w14:blurRad="38100" w14:dist="25400" w14:dir="5400000" w14:sx="100000" w14:sy="100000" w14:kx="0" w14:ky="0" w14:algn="ctr">
                                  <w14:srgbClr w14:val="6E747A">
                                    <w14:alpha w14:val="57000"/>
                                  </w14:srgbClr>
                                </w14:shadow>
                                <w14:textFill>
                                  <w14:solidFill>
                                    <w14:schemeClr w14:val="tx1"/>
                                  </w14:solidFill>
                                </w14:textFill>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pt;margin-top:-31pt;height:37.5pt;width:58.85pt;z-index:251658240;mso-width-relative:page;mso-height-relative:page;" filled="f" stroked="f" coordsize="21600,21600" o:gfxdata="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h8Yi&#10;2gAAAAkBAAAPAAAAAAAAAAEAIAAAACIAAABkcnMvZG93bnJldi54bWxQSwECFAAUAAAACACHTuJA&#10;mMWgth8CAAAXBAAADgAAAAAAAAABACAAAAApAQAAZHJzL2Uyb0RvYy54bWxQSwUGAAAAAAYABgBZ&#10;AQAAugUAAAAA&#10;">
                <v:fill on="f" focussize="0,0"/>
                <v:stroke on="f" weight="0.5pt"/>
                <v:imagedata o:title=""/>
                <o:lock v:ext="edit" aspectratio="f"/>
                <v:textbox>
                  <w:txbxContent>
                    <w:p>
                      <w:pPr>
                        <w:rPr>
                          <w:rFonts w:hint="eastAsia" w:ascii="仿宋" w:hAnsi="仿宋" w:eastAsia="仿宋" w:cs="仿宋"/>
                          <w:b w:val="0"/>
                          <w:bCs w:val="0"/>
                          <w:color w:val="000000" w:themeColor="text1"/>
                          <w:sz w:val="28"/>
                          <w:szCs w:val="28"/>
                          <w:lang w:val="en-US" w:eastAsia="zh-CN"/>
                          <w14:shadow w14:blurRad="38100" w14:dist="25400" w14:dir="5400000" w14:sx="100000" w14:sy="100000" w14:kx="0" w14:ky="0" w14:algn="ctr">
                            <w14:srgbClr w14:val="6E747A">
                              <w14:alpha w14:val="57000"/>
                            </w14:srgbClr>
                          </w14:shadow>
                          <w14:textFill>
                            <w14:solidFill>
                              <w14:schemeClr w14:val="tx1"/>
                            </w14:solidFill>
                          </w14:textFill>
                        </w:rPr>
                      </w:pPr>
                      <w:r>
                        <w:rPr>
                          <w:rFonts w:hint="eastAsia" w:ascii="仿宋" w:hAnsi="仿宋" w:eastAsia="仿宋" w:cs="仿宋"/>
                          <w:b w:val="0"/>
                          <w:bCs w:val="0"/>
                          <w:color w:val="000000" w:themeColor="text1"/>
                          <w:sz w:val="28"/>
                          <w:szCs w:val="28"/>
                          <w:lang w:eastAsia="zh-CN"/>
                          <w14:shadow w14:blurRad="38100" w14:dist="25400" w14:dir="5400000" w14:sx="100000" w14:sy="100000" w14:kx="0" w14:ky="0" w14:algn="ctr">
                            <w14:srgbClr w14:val="6E747A">
                              <w14:alpha w14:val="57000"/>
                            </w14:srgbClr>
                          </w14:shadow>
                          <w14:textFill>
                            <w14:solidFill>
                              <w14:schemeClr w14:val="tx1"/>
                            </w14:solidFill>
                          </w14:textFill>
                        </w:rPr>
                        <w:t>附件</w:t>
                      </w:r>
                    </w:p>
                  </w:txbxContent>
                </v:textbox>
              </v:shape>
            </w:pict>
          </mc:Fallback>
        </mc:AlternateContent>
      </w:r>
      <w:r>
        <w:rPr>
          <w:rFonts w:hint="eastAsia" w:ascii="方正小标宋简体" w:hAnsi="方正小标宋简体" w:eastAsia="方正小标宋简体" w:cs="方正小标宋简体"/>
          <w:sz w:val="44"/>
          <w:szCs w:val="44"/>
          <w:lang w:eastAsia="zh-CN"/>
        </w:rPr>
        <w:t>洛龙区查处洛阳鸿海装饰工程有限公司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拖欠劳动报酬案</w:t>
      </w:r>
    </w:p>
    <w:p>
      <w:pPr>
        <w:rPr>
          <w:rFonts w:ascii="仿宋" w:hAnsi="仿宋" w:eastAsia="仿宋"/>
          <w:sz w:val="28"/>
          <w:szCs w:val="28"/>
        </w:rPr>
      </w:pP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eastAsia" w:ascii="仿宋" w:hAnsi="仿宋" w:eastAsia="仿宋" w:cs="Times New Roman"/>
          <w:sz w:val="32"/>
          <w:szCs w:val="32"/>
          <w:lang w:eastAsia="zh-CN"/>
        </w:rPr>
      </w:pPr>
      <w:r>
        <w:rPr>
          <w:rFonts w:hint="eastAsia" w:ascii="仿宋" w:hAnsi="仿宋" w:eastAsia="仿宋" w:cs="Times New Roman"/>
          <w:b/>
          <w:bCs/>
          <w:sz w:val="32"/>
          <w:szCs w:val="32"/>
          <w:lang w:eastAsia="zh-CN"/>
        </w:rPr>
        <w:t>违法主体全称</w:t>
      </w:r>
      <w:r>
        <w:rPr>
          <w:rFonts w:hint="eastAsia" w:ascii="仿宋" w:hAnsi="仿宋" w:eastAsia="仿宋" w:cs="Times New Roman"/>
          <w:sz w:val="32"/>
          <w:szCs w:val="32"/>
          <w:lang w:eastAsia="zh-CN"/>
        </w:rPr>
        <w:t>：洛阳鸿海装饰工程有限公司</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eastAsia="zh-CN"/>
        </w:rPr>
        <w:t>统一社会信用代码</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914103000613848458</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eastAsia="zh-CN"/>
        </w:rPr>
        <w:t>登记住所</w:t>
      </w:r>
      <w:r>
        <w:rPr>
          <w:rFonts w:hint="eastAsia" w:ascii="仿宋" w:hAnsi="仿宋" w:eastAsia="仿宋" w:cs="Times New Roman"/>
          <w:sz w:val="32"/>
          <w:szCs w:val="32"/>
          <w:lang w:eastAsia="zh-CN"/>
        </w:rPr>
        <w:t>：洛阳市洛龙区功成校苑</w:t>
      </w:r>
      <w:r>
        <w:rPr>
          <w:rFonts w:hint="eastAsia" w:ascii="仿宋" w:hAnsi="仿宋" w:eastAsia="仿宋" w:cs="Times New Roman"/>
          <w:sz w:val="32"/>
          <w:szCs w:val="32"/>
          <w:lang w:val="en-US" w:eastAsia="zh-CN"/>
        </w:rPr>
        <w:t>B2004</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eastAsia" w:ascii="仿宋" w:hAnsi="仿宋" w:eastAsia="仿宋" w:cs="Times New Roman"/>
          <w:sz w:val="32"/>
          <w:szCs w:val="32"/>
          <w:lang w:eastAsia="zh-CN"/>
        </w:rPr>
      </w:pPr>
      <w:r>
        <w:rPr>
          <w:rFonts w:hint="eastAsia" w:ascii="仿宋" w:hAnsi="仿宋" w:eastAsia="仿宋" w:cs="Times New Roman"/>
          <w:b/>
          <w:bCs/>
          <w:sz w:val="32"/>
          <w:szCs w:val="32"/>
          <w:lang w:eastAsia="zh-CN"/>
        </w:rPr>
        <w:t>法定代表人</w:t>
      </w:r>
      <w:r>
        <w:rPr>
          <w:rFonts w:hint="eastAsia" w:ascii="仿宋" w:hAnsi="仿宋" w:eastAsia="仿宋" w:cs="Times New Roman"/>
          <w:sz w:val="32"/>
          <w:szCs w:val="32"/>
          <w:lang w:eastAsia="zh-CN"/>
        </w:rPr>
        <w:t>：曹恒卿</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eastAsia" w:ascii="仿宋" w:hAnsi="仿宋" w:eastAsia="仿宋" w:cs="Times New Roman"/>
          <w:sz w:val="32"/>
          <w:szCs w:val="32"/>
          <w:lang w:eastAsia="zh-CN"/>
        </w:rPr>
      </w:pPr>
      <w:r>
        <w:rPr>
          <w:rFonts w:hint="eastAsia" w:ascii="仿宋" w:hAnsi="仿宋" w:eastAsia="仿宋" w:cs="Times New Roman"/>
          <w:b/>
          <w:bCs/>
          <w:sz w:val="32"/>
          <w:szCs w:val="32"/>
          <w:lang w:eastAsia="zh-CN"/>
        </w:rPr>
        <w:t>主要违法事实</w:t>
      </w:r>
      <w:r>
        <w:rPr>
          <w:rFonts w:hint="eastAsia" w:ascii="仿宋" w:hAnsi="仿宋" w:eastAsia="仿宋" w:cs="Times New Roman"/>
          <w:sz w:val="32"/>
          <w:szCs w:val="32"/>
          <w:lang w:eastAsia="zh-CN"/>
        </w:rPr>
        <w:t>：2020年</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lang w:eastAsia="zh-CN"/>
        </w:rPr>
        <w:t>月</w:t>
      </w:r>
      <w:r>
        <w:rPr>
          <w:rFonts w:hint="eastAsia" w:ascii="仿宋" w:hAnsi="仿宋" w:eastAsia="仿宋" w:cs="Times New Roman"/>
          <w:sz w:val="32"/>
          <w:szCs w:val="32"/>
          <w:lang w:val="en-US" w:eastAsia="zh-CN"/>
        </w:rPr>
        <w:t>14</w:t>
      </w:r>
      <w:r>
        <w:rPr>
          <w:rFonts w:hint="eastAsia" w:ascii="仿宋" w:hAnsi="仿宋" w:eastAsia="仿宋" w:cs="Times New Roman"/>
          <w:sz w:val="32"/>
          <w:szCs w:val="32"/>
          <w:lang w:eastAsia="zh-CN"/>
        </w:rPr>
        <w:t>日，洛阳市洛龙区人力资源和社会保障局接到劳动者反映洛阳鸿海装饰工程有限公司存在拖欠劳动者劳动报酬问题。</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经查，洛阳鸿海装饰工程有限公司拖欠</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lang w:eastAsia="zh-CN"/>
        </w:rPr>
        <w:t>名劳动者 20</w:t>
      </w:r>
      <w:r>
        <w:rPr>
          <w:rFonts w:hint="eastAsia" w:ascii="仿宋" w:hAnsi="仿宋" w:eastAsia="仿宋" w:cs="Times New Roman"/>
          <w:sz w:val="32"/>
          <w:szCs w:val="32"/>
          <w:lang w:val="en-US" w:eastAsia="zh-CN"/>
        </w:rPr>
        <w:t>19</w:t>
      </w:r>
      <w:r>
        <w:rPr>
          <w:rFonts w:hint="eastAsia" w:ascii="仿宋" w:hAnsi="仿宋" w:eastAsia="仿宋" w:cs="Times New Roman"/>
          <w:sz w:val="32"/>
          <w:szCs w:val="32"/>
          <w:lang w:eastAsia="zh-CN"/>
        </w:rPr>
        <w:t>年</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lang w:eastAsia="zh-CN"/>
        </w:rPr>
        <w:t>月至</w:t>
      </w:r>
      <w:r>
        <w:rPr>
          <w:rFonts w:hint="eastAsia" w:ascii="仿宋" w:hAnsi="仿宋" w:eastAsia="仿宋" w:cs="Times New Roman"/>
          <w:sz w:val="32"/>
          <w:szCs w:val="32"/>
          <w:lang w:val="en-US" w:eastAsia="zh-CN"/>
        </w:rPr>
        <w:t>2020年1</w:t>
      </w:r>
      <w:r>
        <w:rPr>
          <w:rFonts w:hint="eastAsia" w:ascii="仿宋" w:hAnsi="仿宋" w:eastAsia="仿宋" w:cs="Times New Roman"/>
          <w:sz w:val="32"/>
          <w:szCs w:val="32"/>
          <w:lang w:eastAsia="zh-CN"/>
        </w:rPr>
        <w:t>月劳动报酬共计</w:t>
      </w:r>
      <w:r>
        <w:rPr>
          <w:rFonts w:hint="eastAsia" w:ascii="仿宋" w:hAnsi="仿宋" w:eastAsia="仿宋" w:cs="Times New Roman"/>
          <w:sz w:val="32"/>
          <w:szCs w:val="32"/>
          <w:lang w:val="en-US" w:eastAsia="zh-CN"/>
        </w:rPr>
        <w:t>0.96万</w:t>
      </w:r>
      <w:r>
        <w:rPr>
          <w:rFonts w:hint="eastAsia" w:ascii="仿宋" w:hAnsi="仿宋" w:eastAsia="仿宋" w:cs="Times New Roman"/>
          <w:sz w:val="32"/>
          <w:szCs w:val="32"/>
          <w:lang w:eastAsia="zh-CN"/>
        </w:rPr>
        <w:t>元。20</w:t>
      </w:r>
      <w:r>
        <w:rPr>
          <w:rFonts w:hint="eastAsia" w:ascii="仿宋" w:hAnsi="仿宋" w:eastAsia="仿宋" w:cs="Times New Roman"/>
          <w:sz w:val="32"/>
          <w:szCs w:val="32"/>
          <w:lang w:val="en-US" w:eastAsia="zh-CN"/>
        </w:rPr>
        <w:t>20</w:t>
      </w:r>
      <w:r>
        <w:rPr>
          <w:rFonts w:hint="eastAsia" w:ascii="仿宋" w:hAnsi="仿宋" w:eastAsia="仿宋" w:cs="Times New Roman"/>
          <w:sz w:val="32"/>
          <w:szCs w:val="32"/>
          <w:lang w:eastAsia="zh-CN"/>
        </w:rPr>
        <w:t>年</w:t>
      </w:r>
      <w:r>
        <w:rPr>
          <w:rFonts w:hint="eastAsia" w:ascii="仿宋" w:hAnsi="仿宋" w:eastAsia="仿宋" w:cs="Times New Roman"/>
          <w:sz w:val="32"/>
          <w:szCs w:val="32"/>
          <w:lang w:val="en-US" w:eastAsia="zh-CN"/>
        </w:rPr>
        <w:t>9</w:t>
      </w:r>
      <w:r>
        <w:rPr>
          <w:rFonts w:hint="eastAsia" w:ascii="仿宋" w:hAnsi="仿宋" w:eastAsia="仿宋" w:cs="Times New Roman"/>
          <w:sz w:val="32"/>
          <w:szCs w:val="32"/>
          <w:lang w:eastAsia="zh-CN"/>
        </w:rPr>
        <w:t>月</w:t>
      </w:r>
      <w:r>
        <w:rPr>
          <w:rFonts w:hint="eastAsia" w:ascii="仿宋" w:hAnsi="仿宋" w:eastAsia="仿宋" w:cs="Times New Roman"/>
          <w:sz w:val="32"/>
          <w:szCs w:val="32"/>
          <w:lang w:val="en-US" w:eastAsia="zh-CN"/>
        </w:rPr>
        <w:t>8</w:t>
      </w:r>
      <w:r>
        <w:rPr>
          <w:rFonts w:hint="eastAsia" w:ascii="仿宋" w:hAnsi="仿宋" w:eastAsia="仿宋" w:cs="Times New Roman"/>
          <w:sz w:val="32"/>
          <w:szCs w:val="32"/>
          <w:lang w:eastAsia="zh-CN"/>
        </w:rPr>
        <w:t>日，洛龙区人力资源和社会保障局依法对该公司作出《劳动保障监察限期整改指令书》，该公司逾期未整改。</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textAlignment w:val="auto"/>
        <w:rPr>
          <w:rFonts w:hint="eastAsia" w:ascii="仿宋" w:hAnsi="仿宋" w:eastAsia="仿宋" w:cs="Times New Roman"/>
          <w:sz w:val="32"/>
          <w:szCs w:val="32"/>
          <w:lang w:eastAsia="zh-CN"/>
        </w:rPr>
      </w:pPr>
      <w:r>
        <w:rPr>
          <w:rFonts w:hint="eastAsia" w:ascii="仿宋" w:hAnsi="仿宋" w:eastAsia="仿宋" w:cs="Times New Roman"/>
          <w:b/>
          <w:bCs/>
          <w:sz w:val="32"/>
          <w:szCs w:val="32"/>
          <w:lang w:eastAsia="zh-CN"/>
        </w:rPr>
        <w:t>相关处理情况</w:t>
      </w:r>
      <w:r>
        <w:rPr>
          <w:rFonts w:hint="eastAsia" w:ascii="仿宋" w:hAnsi="仿宋" w:eastAsia="仿宋" w:cs="Times New Roman"/>
          <w:sz w:val="32"/>
          <w:szCs w:val="32"/>
          <w:lang w:eastAsia="zh-CN"/>
        </w:rPr>
        <w:t>：2020年</w:t>
      </w:r>
      <w:r>
        <w:rPr>
          <w:rFonts w:hint="eastAsia" w:ascii="仿宋" w:hAnsi="仿宋" w:eastAsia="仿宋" w:cs="Times New Roman"/>
          <w:sz w:val="32"/>
          <w:szCs w:val="32"/>
          <w:lang w:val="en-US" w:eastAsia="zh-CN"/>
        </w:rPr>
        <w:t>9</w:t>
      </w:r>
      <w:r>
        <w:rPr>
          <w:rFonts w:hint="eastAsia" w:ascii="仿宋" w:hAnsi="仿宋" w:eastAsia="仿宋" w:cs="Times New Roman"/>
          <w:sz w:val="32"/>
          <w:szCs w:val="32"/>
          <w:lang w:eastAsia="zh-CN"/>
        </w:rPr>
        <w:t>月</w:t>
      </w:r>
      <w:r>
        <w:rPr>
          <w:rFonts w:hint="eastAsia" w:ascii="仿宋" w:hAnsi="仿宋" w:eastAsia="仿宋" w:cs="Times New Roman"/>
          <w:sz w:val="32"/>
          <w:szCs w:val="32"/>
          <w:lang w:val="en-US" w:eastAsia="zh-CN"/>
        </w:rPr>
        <w:t>22</w:t>
      </w:r>
      <w:r>
        <w:rPr>
          <w:rFonts w:hint="eastAsia" w:ascii="仿宋" w:hAnsi="仿宋" w:eastAsia="仿宋" w:cs="Times New Roman"/>
          <w:sz w:val="32"/>
          <w:szCs w:val="32"/>
          <w:lang w:eastAsia="zh-CN"/>
        </w:rPr>
        <w:t>日，洛阳市洛龙区人力资源和社会保障局依法对该公司作出《劳动保障监察行政处罚决定书》处以1万元罚款,下达《劳动保障监察行政处理决定书》责令支付</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lang w:eastAsia="zh-CN"/>
        </w:rPr>
        <w:t>名劳动者劳动报酬</w:t>
      </w:r>
      <w:r>
        <w:rPr>
          <w:rFonts w:hint="eastAsia" w:ascii="仿宋" w:hAnsi="仿宋" w:eastAsia="仿宋" w:cs="Times New Roman"/>
          <w:sz w:val="32"/>
          <w:szCs w:val="32"/>
          <w:lang w:val="en-US" w:eastAsia="zh-CN"/>
        </w:rPr>
        <w:t>0.96万</w:t>
      </w:r>
      <w:r>
        <w:rPr>
          <w:rFonts w:hint="eastAsia" w:ascii="仿宋" w:hAnsi="仿宋" w:eastAsia="仿宋" w:cs="Times New Roman"/>
          <w:sz w:val="32"/>
          <w:szCs w:val="32"/>
          <w:lang w:eastAsia="zh-CN"/>
        </w:rPr>
        <w:t>元及加付赔偿金</w:t>
      </w:r>
      <w:r>
        <w:rPr>
          <w:rFonts w:hint="eastAsia" w:ascii="仿宋" w:hAnsi="仿宋" w:eastAsia="仿宋" w:cs="Times New Roman"/>
          <w:sz w:val="32"/>
          <w:szCs w:val="32"/>
          <w:lang w:val="en-US" w:eastAsia="zh-CN"/>
        </w:rPr>
        <w:t>0.48万</w:t>
      </w:r>
      <w:r>
        <w:rPr>
          <w:rFonts w:hint="eastAsia" w:ascii="仿宋" w:hAnsi="仿宋" w:eastAsia="仿宋" w:cs="Times New Roman"/>
          <w:sz w:val="32"/>
          <w:szCs w:val="32"/>
          <w:lang w:eastAsia="zh-CN"/>
        </w:rPr>
        <w:t>元，该单位逾期未履行。2020年</w:t>
      </w:r>
      <w:r>
        <w:rPr>
          <w:rFonts w:hint="eastAsia" w:ascii="仿宋" w:hAnsi="仿宋" w:eastAsia="仿宋" w:cs="Times New Roman"/>
          <w:sz w:val="32"/>
          <w:szCs w:val="32"/>
          <w:lang w:val="en-US" w:eastAsia="zh-CN"/>
        </w:rPr>
        <w:t>10</w:t>
      </w:r>
      <w:r>
        <w:rPr>
          <w:rFonts w:hint="eastAsia" w:ascii="仿宋" w:hAnsi="仿宋" w:eastAsia="仿宋" w:cs="Times New Roman"/>
          <w:sz w:val="32"/>
          <w:szCs w:val="32"/>
          <w:lang w:eastAsia="zh-CN"/>
        </w:rPr>
        <w:t>月</w:t>
      </w:r>
      <w:r>
        <w:rPr>
          <w:rFonts w:hint="eastAsia" w:ascii="仿宋" w:hAnsi="仿宋" w:eastAsia="仿宋" w:cs="Times New Roman"/>
          <w:sz w:val="32"/>
          <w:szCs w:val="32"/>
          <w:lang w:val="en-US" w:eastAsia="zh-CN"/>
        </w:rPr>
        <w:t>12</w:t>
      </w:r>
      <w:r>
        <w:rPr>
          <w:rFonts w:hint="eastAsia" w:ascii="仿宋" w:hAnsi="仿宋" w:eastAsia="仿宋" w:cs="Times New Roman"/>
          <w:sz w:val="32"/>
          <w:szCs w:val="32"/>
          <w:lang w:eastAsia="zh-CN"/>
        </w:rPr>
        <w:t>日，洛龙区人力资源和</w:t>
      </w:r>
      <w:bookmarkStart w:id="0" w:name="_GoBack"/>
      <w:bookmarkEnd w:id="0"/>
      <w:r>
        <w:rPr>
          <w:rFonts w:hint="eastAsia" w:ascii="仿宋" w:hAnsi="仿宋" w:eastAsia="仿宋" w:cs="Times New Roman"/>
          <w:sz w:val="32"/>
          <w:szCs w:val="32"/>
          <w:lang w:eastAsia="zh-CN"/>
        </w:rPr>
        <w:t>社会保障局依法将该公司列入拖欠农民工工资“黑名单”。下一步，将依法申请人民法院强制执行。</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仿宋" w:hAnsi="仿宋" w:eastAsia="仿宋" w:cs="Times New Roman"/>
          <w:sz w:val="32"/>
          <w:szCs w:val="32"/>
          <w:lang w:eastAsia="zh-CN"/>
        </w:rPr>
      </w:pPr>
    </w:p>
    <w:sectPr>
      <w:pgSz w:w="11906" w:h="16838"/>
      <w:pgMar w:top="1440" w:right="148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B25F7"/>
    <w:rsid w:val="0A2C5B2E"/>
    <w:rsid w:val="17B6258B"/>
    <w:rsid w:val="21367D2C"/>
    <w:rsid w:val="32D6687A"/>
    <w:rsid w:val="34902A60"/>
    <w:rsid w:val="35A97074"/>
    <w:rsid w:val="3614057D"/>
    <w:rsid w:val="58063251"/>
    <w:rsid w:val="5EF91479"/>
    <w:rsid w:val="607B25F7"/>
    <w:rsid w:val="70FC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2020-11-30T02:36:00Z</dcterms:created>
  <dc:creator>忄萌小琦丶丶</dc:creator>
  <cp:lastModifiedBy>忄萌小琦丶丶</cp:lastModifiedBy>
  <dcterms:modified xsi:type="dcterms:W3CDTF">2020-12-29T03:34:13Z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